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0" w:rsidRDefault="004609FE" w:rsidP="00517E23">
      <w:pPr>
        <w:spacing w:after="0" w:line="240" w:lineRule="auto"/>
        <w:jc w:val="center"/>
        <w:rPr>
          <w:sz w:val="28"/>
          <w:szCs w:val="20"/>
        </w:rPr>
      </w:pPr>
      <w:r w:rsidRPr="00CE29D0">
        <w:rPr>
          <w:sz w:val="28"/>
          <w:szCs w:val="20"/>
        </w:rPr>
        <w:t xml:space="preserve">Памятка работодателю по представлению </w:t>
      </w:r>
    </w:p>
    <w:p w:rsidR="004F4EAD" w:rsidRPr="00CE29D0" w:rsidRDefault="004609FE" w:rsidP="00517E23">
      <w:pPr>
        <w:spacing w:after="0" w:line="240" w:lineRule="auto"/>
        <w:jc w:val="center"/>
        <w:rPr>
          <w:sz w:val="28"/>
          <w:szCs w:val="20"/>
        </w:rPr>
      </w:pPr>
      <w:r w:rsidRPr="00CE29D0">
        <w:rPr>
          <w:sz w:val="28"/>
          <w:szCs w:val="20"/>
        </w:rPr>
        <w:t xml:space="preserve">в СФР сведений индивидуального (персонифицированного) учета </w:t>
      </w:r>
    </w:p>
    <w:p w:rsidR="00B25DE0" w:rsidRDefault="00B25DE0" w:rsidP="00517E23">
      <w:pPr>
        <w:spacing w:after="0" w:line="240" w:lineRule="auto"/>
        <w:ind w:firstLine="709"/>
        <w:jc w:val="both"/>
        <w:rPr>
          <w:sz w:val="18"/>
          <w:szCs w:val="20"/>
        </w:rPr>
      </w:pPr>
    </w:p>
    <w:p w:rsidR="004257CA" w:rsidRPr="00385C44" w:rsidRDefault="004257CA" w:rsidP="00517E23">
      <w:pPr>
        <w:tabs>
          <w:tab w:val="left" w:pos="1134"/>
        </w:tabs>
        <w:autoSpaceDE w:val="0"/>
        <w:spacing w:after="0" w:line="240" w:lineRule="auto"/>
        <w:ind w:firstLine="709"/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B306E7" w:rsidRDefault="00636EF3" w:rsidP="00880CF4">
      <w:pPr>
        <w:autoSpaceDE w:val="0"/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880CF4">
        <w:rPr>
          <w:rFonts w:eastAsia="Times New Roman"/>
          <w:color w:val="000000"/>
          <w:sz w:val="20"/>
          <w:szCs w:val="20"/>
          <w:lang w:eastAsia="ru-RU"/>
        </w:rPr>
        <w:t xml:space="preserve">С 1 января 2023 года </w:t>
      </w:r>
      <w:r w:rsidR="00B306E7">
        <w:rPr>
          <w:rFonts w:eastAsia="Times New Roman"/>
          <w:color w:val="000000"/>
          <w:sz w:val="20"/>
          <w:szCs w:val="20"/>
          <w:lang w:eastAsia="ru-RU"/>
        </w:rPr>
        <w:t xml:space="preserve">страхователи представляют в </w:t>
      </w:r>
      <w:r w:rsidR="003F2E8F">
        <w:rPr>
          <w:rFonts w:eastAsia="Times New Roman"/>
          <w:color w:val="000000"/>
          <w:sz w:val="20"/>
          <w:szCs w:val="20"/>
          <w:lang w:eastAsia="ru-RU"/>
        </w:rPr>
        <w:t>Фонд пенсионного и социального страхования Российской Федерации (далее – Фонд)</w:t>
      </w:r>
      <w:r w:rsidR="00B306E7">
        <w:rPr>
          <w:rFonts w:eastAsia="Times New Roman"/>
          <w:color w:val="000000"/>
          <w:sz w:val="20"/>
          <w:szCs w:val="20"/>
          <w:lang w:eastAsia="ru-RU"/>
        </w:rPr>
        <w:t xml:space="preserve"> в соответствии с </w:t>
      </w:r>
      <w:r w:rsidR="00B306E7">
        <w:rPr>
          <w:sz w:val="20"/>
          <w:szCs w:val="20"/>
        </w:rPr>
        <w:t>Федеральным законом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 27-ФЗ) следующие сведения:</w:t>
      </w:r>
    </w:p>
    <w:p w:rsidR="004609FE" w:rsidRPr="00B306E7" w:rsidRDefault="00B306E7" w:rsidP="00637D6F">
      <w:pPr>
        <w:pStyle w:val="a3"/>
        <w:numPr>
          <w:ilvl w:val="0"/>
          <w:numId w:val="4"/>
        </w:numPr>
        <w:tabs>
          <w:tab w:val="left" w:pos="993"/>
        </w:tabs>
        <w:autoSpaceDE w:val="0"/>
        <w:spacing w:before="120" w:after="0" w:line="240" w:lineRule="auto"/>
        <w:ind w:left="0"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306E7">
        <w:rPr>
          <w:rFonts w:eastAsia="Times New Roman"/>
          <w:color w:val="000000"/>
          <w:sz w:val="20"/>
          <w:szCs w:val="20"/>
          <w:lang w:eastAsia="ru-RU"/>
        </w:rPr>
        <w:t>Е</w:t>
      </w:r>
      <w:r w:rsidR="00880CF4" w:rsidRPr="00B306E7">
        <w:rPr>
          <w:rFonts w:eastAsia="Times New Roman"/>
          <w:color w:val="000000"/>
          <w:sz w:val="20"/>
          <w:szCs w:val="20"/>
          <w:lang w:eastAsia="ru-RU"/>
        </w:rPr>
        <w:t>дин</w:t>
      </w:r>
      <w:r w:rsidRPr="00B306E7">
        <w:rPr>
          <w:rFonts w:eastAsia="Times New Roman"/>
          <w:color w:val="000000"/>
          <w:sz w:val="20"/>
          <w:szCs w:val="20"/>
          <w:lang w:eastAsia="ru-RU"/>
        </w:rPr>
        <w:t>ая</w:t>
      </w:r>
      <w:r w:rsidR="00880CF4" w:rsidRPr="00B306E7">
        <w:rPr>
          <w:rFonts w:eastAsia="Times New Roman"/>
          <w:color w:val="000000"/>
          <w:sz w:val="20"/>
          <w:szCs w:val="20"/>
          <w:lang w:eastAsia="ru-RU"/>
        </w:rPr>
        <w:t xml:space="preserve"> форм</w:t>
      </w:r>
      <w:r w:rsidRPr="00B306E7">
        <w:rPr>
          <w:rFonts w:eastAsia="Times New Roman"/>
          <w:color w:val="000000"/>
          <w:sz w:val="20"/>
          <w:szCs w:val="20"/>
          <w:lang w:eastAsia="ru-RU"/>
        </w:rPr>
        <w:t>а</w:t>
      </w:r>
      <w:r w:rsidR="005914D5" w:rsidRPr="00B306E7">
        <w:rPr>
          <w:rFonts w:eastAsia="Times New Roman"/>
          <w:color w:val="000000"/>
          <w:sz w:val="20"/>
          <w:szCs w:val="20"/>
          <w:lang w:eastAsia="ru-RU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 заболеваний» (ЕФС-1)</w:t>
      </w:r>
      <w:r w:rsidR="004609FE" w:rsidRPr="00B306E7">
        <w:rPr>
          <w:rFonts w:eastAsia="Times New Roman"/>
          <w:color w:val="000000"/>
          <w:sz w:val="20"/>
          <w:szCs w:val="20"/>
          <w:lang w:eastAsia="ru-RU"/>
        </w:rPr>
        <w:t xml:space="preserve"> (</w:t>
      </w:r>
      <w:r w:rsidR="00880CF4" w:rsidRPr="00B306E7">
        <w:rPr>
          <w:rFonts w:eastAsia="Times New Roman"/>
          <w:color w:val="000000"/>
          <w:sz w:val="20"/>
          <w:szCs w:val="20"/>
          <w:lang w:eastAsia="ru-RU"/>
        </w:rPr>
        <w:t>утв</w:t>
      </w:r>
      <w:r w:rsidR="004609FE" w:rsidRPr="00B306E7">
        <w:rPr>
          <w:rFonts w:eastAsia="Times New Roman"/>
          <w:color w:val="000000"/>
          <w:sz w:val="20"/>
          <w:szCs w:val="20"/>
          <w:lang w:eastAsia="ru-RU"/>
        </w:rPr>
        <w:t>.</w:t>
      </w:r>
      <w:r w:rsidR="00880CF4" w:rsidRPr="00B306E7">
        <w:rPr>
          <w:rFonts w:eastAsia="Times New Roman"/>
          <w:color w:val="000000"/>
          <w:sz w:val="20"/>
          <w:szCs w:val="20"/>
          <w:lang w:eastAsia="ru-RU"/>
        </w:rPr>
        <w:t xml:space="preserve"> постановлением Правления ПФР от 31.10.2022 № 245п</w:t>
      </w:r>
      <w:r w:rsidR="004609FE" w:rsidRPr="00B306E7">
        <w:rPr>
          <w:rFonts w:eastAsia="Times New Roman"/>
          <w:color w:val="000000"/>
          <w:sz w:val="20"/>
          <w:szCs w:val="20"/>
          <w:lang w:eastAsia="ru-RU"/>
        </w:rPr>
        <w:t>)</w:t>
      </w:r>
      <w:r w:rsidR="00880CF4" w:rsidRPr="00B306E7">
        <w:rPr>
          <w:rFonts w:eastAsia="Times New Roman"/>
          <w:color w:val="000000"/>
          <w:sz w:val="20"/>
          <w:szCs w:val="20"/>
          <w:lang w:eastAsia="ru-RU"/>
        </w:rPr>
        <w:t>.</w:t>
      </w:r>
      <w:r w:rsidR="006C701A" w:rsidRPr="00B306E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517E23" w:rsidRDefault="004609FE" w:rsidP="00B306E7">
      <w:pPr>
        <w:autoSpaceDE w:val="0"/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С</w:t>
      </w:r>
      <w:r w:rsidR="006C701A" w:rsidRPr="00880CF4">
        <w:rPr>
          <w:rFonts w:eastAsia="Times New Roman"/>
          <w:color w:val="000000"/>
          <w:sz w:val="20"/>
          <w:szCs w:val="20"/>
          <w:lang w:eastAsia="ru-RU"/>
        </w:rPr>
        <w:t xml:space="preserve">остав сведений </w:t>
      </w:r>
      <w:r>
        <w:rPr>
          <w:rFonts w:eastAsia="Times New Roman"/>
          <w:color w:val="000000"/>
          <w:sz w:val="20"/>
          <w:szCs w:val="20"/>
          <w:lang w:eastAsia="ru-RU"/>
        </w:rPr>
        <w:t>формы ЕФС-1</w:t>
      </w:r>
      <w:r w:rsidR="006C701A" w:rsidRPr="00880CF4">
        <w:rPr>
          <w:rFonts w:eastAsia="Times New Roman"/>
          <w:color w:val="000000"/>
          <w:sz w:val="20"/>
          <w:szCs w:val="20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"/>
        <w:gridCol w:w="5230"/>
        <w:gridCol w:w="4394"/>
      </w:tblGrid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30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сведений</w:t>
            </w:r>
          </w:p>
        </w:tc>
        <w:tc>
          <w:tcPr>
            <w:tcW w:w="4394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 и срок представления</w:t>
            </w:r>
          </w:p>
        </w:tc>
      </w:tr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30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5C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ведения о трудовой деятельности </w:t>
            </w:r>
          </w:p>
          <w:p w:rsidR="007A12BC" w:rsidRDefault="007A12BC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(подпункт 4 пункта 2, пункт 5 статьи 11 Закона № 27-ФЗ</w:t>
            </w:r>
            <w:r w:rsidR="00AA02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</w:tcPr>
          <w:p w:rsidR="00CE29D0" w:rsidRPr="00517E23" w:rsidRDefault="00CE29D0" w:rsidP="007D114C">
            <w:pPr>
              <w:pStyle w:val="a3"/>
              <w:numPr>
                <w:ilvl w:val="0"/>
                <w:numId w:val="2"/>
              </w:numPr>
              <w:tabs>
                <w:tab w:val="left" w:pos="353"/>
              </w:tabs>
              <w:autoSpaceDE w:val="0"/>
              <w:ind w:left="33" w:firstLine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E23">
              <w:rPr>
                <w:sz w:val="20"/>
                <w:szCs w:val="20"/>
              </w:rPr>
              <w:t>кадровы</w:t>
            </w:r>
            <w:r>
              <w:rPr>
                <w:sz w:val="20"/>
                <w:szCs w:val="20"/>
              </w:rPr>
              <w:t>е</w:t>
            </w:r>
            <w:r w:rsidRPr="00517E23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517E23">
              <w:rPr>
                <w:sz w:val="20"/>
                <w:szCs w:val="20"/>
              </w:rPr>
              <w:t xml:space="preserve"> «пр</w:t>
            </w:r>
            <w:r>
              <w:rPr>
                <w:sz w:val="20"/>
                <w:szCs w:val="20"/>
              </w:rPr>
              <w:t>и</w:t>
            </w:r>
            <w:r w:rsidRPr="00517E23">
              <w:rPr>
                <w:sz w:val="20"/>
                <w:szCs w:val="20"/>
              </w:rPr>
              <w:t>ем</w:t>
            </w:r>
            <w:r>
              <w:rPr>
                <w:sz w:val="20"/>
                <w:szCs w:val="20"/>
              </w:rPr>
              <w:t xml:space="preserve">, </w:t>
            </w:r>
            <w:r w:rsidRPr="00517E23">
              <w:rPr>
                <w:sz w:val="20"/>
                <w:szCs w:val="20"/>
              </w:rPr>
              <w:t>увольнение</w:t>
            </w:r>
            <w:r>
              <w:rPr>
                <w:sz w:val="20"/>
                <w:szCs w:val="20"/>
              </w:rPr>
              <w:t>, приостановление, возобновление</w:t>
            </w:r>
            <w:r w:rsidRPr="00517E23">
              <w:rPr>
                <w:sz w:val="20"/>
                <w:szCs w:val="20"/>
              </w:rPr>
              <w:t xml:space="preserve">» – </w:t>
            </w:r>
            <w:r w:rsidRPr="00517E23">
              <w:rPr>
                <w:b/>
                <w:sz w:val="20"/>
                <w:szCs w:val="20"/>
                <w:u w:val="single"/>
              </w:rPr>
              <w:t>не позднее рабочего дня, следующего за днем издания приказа</w:t>
            </w:r>
            <w:r>
              <w:rPr>
                <w:b/>
                <w:sz w:val="20"/>
                <w:szCs w:val="20"/>
                <w:u w:val="single"/>
              </w:rPr>
              <w:t>;</w:t>
            </w:r>
          </w:p>
          <w:p w:rsidR="00CE29D0" w:rsidRPr="00517E23" w:rsidRDefault="00CE29D0" w:rsidP="00CE29D0">
            <w:pPr>
              <w:pStyle w:val="a3"/>
              <w:numPr>
                <w:ilvl w:val="0"/>
                <w:numId w:val="2"/>
              </w:numPr>
              <w:tabs>
                <w:tab w:val="left" w:pos="353"/>
              </w:tabs>
              <w:autoSpaceDE w:val="0"/>
              <w:ind w:left="33" w:firstLine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C44">
              <w:rPr>
                <w:sz w:val="20"/>
                <w:szCs w:val="20"/>
              </w:rPr>
              <w:t>кадровы</w:t>
            </w:r>
            <w:r>
              <w:rPr>
                <w:sz w:val="20"/>
                <w:szCs w:val="20"/>
              </w:rPr>
              <w:t>е</w:t>
            </w:r>
            <w:r w:rsidRPr="00385C44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</w:t>
            </w:r>
            <w:r w:rsidRPr="00385C44">
              <w:rPr>
                <w:sz w:val="20"/>
                <w:szCs w:val="20"/>
              </w:rPr>
              <w:t xml:space="preserve"> «перевод»</w:t>
            </w:r>
            <w:r>
              <w:rPr>
                <w:sz w:val="20"/>
                <w:szCs w:val="20"/>
              </w:rPr>
              <w:t>, «переименовани</w:t>
            </w:r>
            <w:r w:rsidR="00AA027D">
              <w:rPr>
                <w:sz w:val="20"/>
                <w:szCs w:val="20"/>
              </w:rPr>
              <w:t>е, установление</w:t>
            </w:r>
            <w:r>
              <w:rPr>
                <w:sz w:val="20"/>
                <w:szCs w:val="20"/>
              </w:rPr>
              <w:t>»</w:t>
            </w:r>
            <w:r w:rsidRPr="00385C44">
              <w:rPr>
                <w:sz w:val="20"/>
                <w:szCs w:val="20"/>
              </w:rPr>
              <w:t xml:space="preserve"> - </w:t>
            </w:r>
            <w:r w:rsidRPr="00385C44">
              <w:rPr>
                <w:b/>
                <w:sz w:val="20"/>
                <w:szCs w:val="20"/>
                <w:u w:val="single"/>
              </w:rPr>
              <w:t>не позднее 25-го числа</w:t>
            </w:r>
            <w:r w:rsidRPr="00385C44">
              <w:rPr>
                <w:sz w:val="20"/>
                <w:szCs w:val="20"/>
              </w:rPr>
              <w:t xml:space="preserve"> месяца, следующего за месяцем, в котором издан приказ</w:t>
            </w:r>
          </w:p>
        </w:tc>
      </w:tr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30" w:type="dxa"/>
          </w:tcPr>
          <w:p w:rsidR="00CE29D0" w:rsidRDefault="00CE29D0" w:rsidP="00AA027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5C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ведения о датах заключения/прекращения и иные реквизиты договоров гражданско-правового характера </w:t>
            </w:r>
          </w:p>
          <w:p w:rsidR="007A12BC" w:rsidRDefault="007A12BC" w:rsidP="00AA027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A027D" w:rsidRDefault="00AA027D" w:rsidP="00AA027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(подпункт 5 пункта 2, пункт 6 статьи 11 Закона № 27-ФЗ)</w:t>
            </w:r>
          </w:p>
          <w:p w:rsidR="00AA027D" w:rsidRDefault="00AA027D" w:rsidP="00AA027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</w:rPr>
              <w:t>Н</w:t>
            </w:r>
            <w:r w:rsidRPr="00385C44">
              <w:rPr>
                <w:b/>
                <w:sz w:val="20"/>
                <w:szCs w:val="20"/>
                <w:u w:val="single"/>
              </w:rPr>
              <w:t xml:space="preserve">е позднее рабочего дня, следующего за днем заключения/прекращения договора </w:t>
            </w:r>
          </w:p>
        </w:tc>
      </w:tr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30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C44">
              <w:rPr>
                <w:sz w:val="20"/>
                <w:szCs w:val="20"/>
              </w:rPr>
              <w:t>Сведения о страховом стаже</w:t>
            </w:r>
            <w:r>
              <w:rPr>
                <w:sz w:val="20"/>
                <w:szCs w:val="20"/>
              </w:rPr>
              <w:t xml:space="preserve"> </w:t>
            </w: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Представляется </w:t>
            </w:r>
            <w:r w:rsidRPr="00385C44">
              <w:rPr>
                <w:b/>
                <w:sz w:val="20"/>
                <w:szCs w:val="20"/>
                <w:u w:val="single"/>
              </w:rPr>
              <w:t>только в отношении работников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385C44">
              <w:rPr>
                <w:b/>
                <w:sz w:val="20"/>
                <w:szCs w:val="20"/>
                <w:u w:val="single"/>
              </w:rPr>
              <w:t xml:space="preserve"> у которых в отчетном периоде условия труда отлич</w:t>
            </w:r>
            <w:r>
              <w:rPr>
                <w:b/>
                <w:sz w:val="20"/>
                <w:szCs w:val="20"/>
                <w:u w:val="single"/>
              </w:rPr>
              <w:t>ались</w:t>
            </w:r>
            <w:r w:rsidRPr="00385C44">
              <w:rPr>
                <w:b/>
                <w:sz w:val="20"/>
                <w:szCs w:val="20"/>
                <w:u w:val="single"/>
              </w:rPr>
              <w:t xml:space="preserve"> от обычных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 w:rsidRPr="00C01B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нап</w:t>
            </w:r>
            <w:r w:rsidRPr="00385C44">
              <w:rPr>
                <w:sz w:val="20"/>
                <w:szCs w:val="20"/>
              </w:rPr>
              <w:t>ример: территориальные условия (МКС, РКС), льготный стаж, работа в сельском хозяйстве, навигация, вахта, периоды получения пособия по безработице, отпуск по уходу за ребенком, отпуск без сохранения заработной платы и др</w:t>
            </w:r>
            <w:r>
              <w:rPr>
                <w:sz w:val="20"/>
                <w:szCs w:val="20"/>
              </w:rPr>
              <w:t>.</w:t>
            </w:r>
            <w:r w:rsidRPr="00C01B2A">
              <w:rPr>
                <w:sz w:val="20"/>
                <w:szCs w:val="20"/>
              </w:rPr>
              <w:t>)</w:t>
            </w:r>
          </w:p>
          <w:p w:rsidR="007A12BC" w:rsidRDefault="007A12BC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7A12BC" w:rsidRDefault="007A12BC" w:rsidP="0095782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(подпункт </w:t>
            </w:r>
            <w:r w:rsidR="00A97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пункта 2, пункт</w:t>
            </w:r>
            <w:r w:rsidR="00A97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7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3, 4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статьи 11 Закона № 27-ФЗ)</w:t>
            </w:r>
          </w:p>
        </w:tc>
        <w:tc>
          <w:tcPr>
            <w:tcW w:w="4394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85C44">
              <w:rPr>
                <w:sz w:val="20"/>
                <w:szCs w:val="20"/>
              </w:rPr>
              <w:t xml:space="preserve">о окончании календарного года </w:t>
            </w:r>
            <w:r w:rsidRPr="00385C44">
              <w:rPr>
                <w:b/>
                <w:sz w:val="20"/>
                <w:szCs w:val="20"/>
                <w:u w:val="single"/>
              </w:rPr>
              <w:t>не позднее 25-го числа, месяца, следующего за отчетным периодом</w:t>
            </w:r>
            <w:r w:rsidRPr="00385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только для отчетных периодов начиная с 2023 года</w:t>
            </w: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 w:rsidRPr="00385C44">
              <w:rPr>
                <w:sz w:val="20"/>
                <w:szCs w:val="20"/>
              </w:rPr>
              <w:t>(за 2023 год сведения необходимо представить не позднее 25 января 2024 года)</w:t>
            </w:r>
            <w:r>
              <w:rPr>
                <w:sz w:val="20"/>
                <w:szCs w:val="20"/>
              </w:rPr>
              <w:t>.</w:t>
            </w:r>
          </w:p>
          <w:p w:rsidR="00CE29D0" w:rsidRDefault="00CE29D0" w:rsidP="007D1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E29D0" w:rsidRDefault="00CE29D0" w:rsidP="0095782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1170F2">
              <w:rPr>
                <w:b/>
                <w:sz w:val="20"/>
                <w:szCs w:val="20"/>
              </w:rPr>
              <w:t>течение трех календарных дней</w:t>
            </w:r>
            <w:r>
              <w:rPr>
                <w:sz w:val="20"/>
                <w:szCs w:val="20"/>
              </w:rPr>
              <w:t xml:space="preserve"> со дня поступления к работодателю запроса органа Фонда либо обращения застрахованного лица (в отношении </w:t>
            </w:r>
            <w:r w:rsidRPr="001170F2">
              <w:rPr>
                <w:b/>
                <w:sz w:val="20"/>
                <w:szCs w:val="20"/>
              </w:rPr>
              <w:t>лица, подавшего заявление об установлении пенсии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30" w:type="dxa"/>
          </w:tcPr>
          <w:p w:rsidR="00A97B63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85C4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ведения о застрахованных лицах, за которых перечислены дополнительные страховые взносы на накопительную пенсию и уплаченные работодателем </w:t>
            </w:r>
          </w:p>
          <w:p w:rsidR="00B53D03" w:rsidRDefault="00B53D03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97B63" w:rsidRDefault="00A97B63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(подпункт 6 пункта 2, пункт 7 статьи 11 Закона № 27-ФЗ)</w:t>
            </w:r>
          </w:p>
          <w:p w:rsidR="00A97B63" w:rsidRDefault="00A97B63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CE29D0" w:rsidRPr="00C01B2A" w:rsidRDefault="00CE29D0" w:rsidP="007D114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01B2A">
              <w:rPr>
                <w:bCs/>
                <w:sz w:val="20"/>
                <w:szCs w:val="20"/>
              </w:rPr>
              <w:t xml:space="preserve">По окончании первого квартала, полугодия, девяти месяцев и календарного года </w:t>
            </w:r>
            <w:r w:rsidRPr="00C01B2A">
              <w:rPr>
                <w:b/>
                <w:bCs/>
                <w:sz w:val="20"/>
                <w:szCs w:val="20"/>
              </w:rPr>
              <w:t>не позднее 25-го числа месяца,</w:t>
            </w:r>
            <w:r w:rsidRPr="00C01B2A">
              <w:rPr>
                <w:bCs/>
                <w:sz w:val="20"/>
                <w:szCs w:val="20"/>
              </w:rPr>
              <w:t xml:space="preserve"> следующего за отчетным периодом</w:t>
            </w: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30" w:type="dxa"/>
          </w:tcPr>
          <w:p w:rsidR="00CE29D0" w:rsidRDefault="00CE29D0" w:rsidP="00581CED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85C44">
              <w:rPr>
                <w:sz w:val="20"/>
                <w:szCs w:val="20"/>
              </w:rPr>
              <w:t xml:space="preserve">ведения о заработной плате и условиях осуществления деятельности работников государственных (муниципальных) учреждений. Представляется только организациями, осуществляющими виды деятельности, перечень которых определяется Минтрудом России </w:t>
            </w:r>
          </w:p>
          <w:p w:rsidR="00581CED" w:rsidRDefault="00581CED" w:rsidP="00581CED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581CED" w:rsidRDefault="00581CED" w:rsidP="00581CE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(пункт 9 статьи 11 Закона № 27-ФЗ)</w:t>
            </w:r>
          </w:p>
          <w:p w:rsidR="00581CED" w:rsidRPr="00385C44" w:rsidRDefault="00581CED" w:rsidP="00581CED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E29D0" w:rsidRPr="00FC3F21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 w:rsidRPr="00FC3F21">
              <w:rPr>
                <w:b/>
                <w:sz w:val="20"/>
                <w:szCs w:val="20"/>
                <w:u w:val="single"/>
              </w:rPr>
              <w:t>не позднее 25-го числа каждого месяца</w:t>
            </w:r>
            <w:r w:rsidRPr="00FC3F21">
              <w:rPr>
                <w:sz w:val="20"/>
                <w:szCs w:val="20"/>
              </w:rPr>
              <w:t>, следующего за отчетным</w:t>
            </w:r>
          </w:p>
          <w:p w:rsidR="00CE29D0" w:rsidRPr="00FC3F21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CE29D0" w:rsidRPr="00FC3F21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C3F21">
              <w:rPr>
                <w:b/>
                <w:sz w:val="20"/>
                <w:szCs w:val="20"/>
              </w:rPr>
              <w:t>!!! Ежемесячное представление</w:t>
            </w:r>
          </w:p>
        </w:tc>
      </w:tr>
      <w:tr w:rsidR="00CE29D0" w:rsidTr="007D114C">
        <w:tc>
          <w:tcPr>
            <w:tcW w:w="407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30" w:type="dxa"/>
          </w:tcPr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85C44">
              <w:rPr>
                <w:sz w:val="20"/>
                <w:szCs w:val="20"/>
              </w:rPr>
              <w:t xml:space="preserve">ведения о начисленных страховых взносах на обязательное социальное страхование от несчастных случаев и профессиональных заболеваний </w:t>
            </w:r>
          </w:p>
          <w:p w:rsidR="00CE29D0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395122" w:rsidRDefault="00395122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395122" w:rsidRDefault="00395122" w:rsidP="003951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(Федеральный закон от 24 июля 1998 года № 125-ФЗ "Об обязательном социальном страховании от несчастных случаев на производстве и профессиональных заболеваний")</w:t>
            </w:r>
          </w:p>
          <w:p w:rsidR="006E25E0" w:rsidRPr="00385C44" w:rsidRDefault="006E25E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E29D0" w:rsidRPr="00FC3F21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3F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позднее 25-го числа месяца следующего за отчетным периодом (начиная с отчетности за 1 квартал 2023 года)</w:t>
            </w:r>
          </w:p>
          <w:p w:rsidR="00CE29D0" w:rsidRPr="00FC3F21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CE29D0" w:rsidRPr="00FC3F21" w:rsidRDefault="00CE29D0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C3F2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!!! Ежеквартальное представление</w:t>
            </w:r>
          </w:p>
        </w:tc>
      </w:tr>
    </w:tbl>
    <w:p w:rsidR="00CE29D0" w:rsidRDefault="00CE29D0" w:rsidP="00517E23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24588F" w:rsidRPr="00385C44" w:rsidRDefault="0024588F" w:rsidP="00517E23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37D6F">
        <w:rPr>
          <w:rFonts w:eastAsia="Times New Roman"/>
          <w:color w:val="000000"/>
          <w:sz w:val="20"/>
          <w:szCs w:val="20"/>
          <w:lang w:eastAsia="ru-RU"/>
        </w:rPr>
        <w:lastRenderedPageBreak/>
        <w:t>Сведения, входящие в состав единой формы, могут заполнят</w:t>
      </w:r>
      <w:r w:rsidR="00BE1FAB" w:rsidRPr="00637D6F">
        <w:rPr>
          <w:rFonts w:eastAsia="Times New Roman"/>
          <w:color w:val="000000"/>
          <w:sz w:val="20"/>
          <w:szCs w:val="20"/>
          <w:lang w:eastAsia="ru-RU"/>
        </w:rPr>
        <w:t>ь</w:t>
      </w:r>
      <w:r w:rsidRPr="00637D6F">
        <w:rPr>
          <w:rFonts w:eastAsia="Times New Roman"/>
          <w:color w:val="000000"/>
          <w:sz w:val="20"/>
          <w:szCs w:val="20"/>
          <w:lang w:eastAsia="ru-RU"/>
        </w:rPr>
        <w:t>ся и представляться</w:t>
      </w:r>
      <w:r w:rsidR="00527DE5" w:rsidRPr="00637D6F">
        <w:rPr>
          <w:rFonts w:eastAsia="Times New Roman"/>
          <w:color w:val="000000"/>
          <w:sz w:val="20"/>
          <w:szCs w:val="20"/>
          <w:lang w:eastAsia="ru-RU"/>
        </w:rPr>
        <w:t xml:space="preserve"> каждое</w:t>
      </w:r>
      <w:r w:rsidRPr="00637D6F">
        <w:rPr>
          <w:rFonts w:eastAsia="Times New Roman"/>
          <w:color w:val="000000"/>
          <w:sz w:val="20"/>
          <w:szCs w:val="20"/>
          <w:lang w:eastAsia="ru-RU"/>
        </w:rPr>
        <w:t xml:space="preserve"> отдельно в</w:t>
      </w:r>
      <w:r w:rsidRPr="00385C44">
        <w:rPr>
          <w:sz w:val="20"/>
          <w:szCs w:val="20"/>
        </w:rPr>
        <w:t xml:space="preserve"> зависимости от сроков представления.</w:t>
      </w:r>
    </w:p>
    <w:p w:rsidR="00A33F21" w:rsidRDefault="00A33F21" w:rsidP="00A33F21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Особенности представления сведений при реорганизации страхователя - юридического лица / ликвидации страхователя - юридического лица (прекращении физическим лицом деятельности в качестве индивидуального предпринимателя)</w:t>
      </w:r>
      <w:r w:rsidRPr="00B22C65">
        <w:rPr>
          <w:sz w:val="20"/>
          <w:szCs w:val="20"/>
        </w:rPr>
        <w:t xml:space="preserve"> </w:t>
      </w:r>
      <w:r>
        <w:rPr>
          <w:sz w:val="20"/>
          <w:szCs w:val="20"/>
        </w:rPr>
        <w:t>установлены пунктом 11 статьи 11 Закона № 27-ФЗ.</w:t>
      </w:r>
    </w:p>
    <w:p w:rsidR="00517E23" w:rsidRDefault="00A33F21" w:rsidP="00517E23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0"/>
          <w:szCs w:val="20"/>
          <w:u w:val="single"/>
        </w:rPr>
      </w:pPr>
      <w:r w:rsidRPr="00305080">
        <w:rPr>
          <w:sz w:val="20"/>
          <w:szCs w:val="20"/>
        </w:rPr>
        <w:t xml:space="preserve">Сведения за отчетные периоды, истекшие до 1 января 2023 года, представляется </w:t>
      </w:r>
      <w:r>
        <w:rPr>
          <w:sz w:val="20"/>
          <w:szCs w:val="20"/>
        </w:rPr>
        <w:t xml:space="preserve">по </w:t>
      </w:r>
      <w:r w:rsidRPr="00305080">
        <w:rPr>
          <w:sz w:val="20"/>
          <w:szCs w:val="20"/>
        </w:rPr>
        <w:t>формам</w:t>
      </w:r>
      <w:r>
        <w:rPr>
          <w:sz w:val="20"/>
          <w:szCs w:val="20"/>
        </w:rPr>
        <w:t>, действовавшим до 2023 года (СЗВ-ТД, СЗВ-М, СЗВ-СТАЖ). Это необходимо учитывать в случае, если Вам необходимо откорректировать ранее представленные сведения или дополнительно представить  сведения за старые периоды.</w:t>
      </w:r>
    </w:p>
    <w:p w:rsidR="00637D6F" w:rsidRDefault="00F47883" w:rsidP="00637D6F">
      <w:pPr>
        <w:pStyle w:val="a3"/>
        <w:numPr>
          <w:ilvl w:val="0"/>
          <w:numId w:val="4"/>
        </w:numPr>
        <w:tabs>
          <w:tab w:val="left" w:pos="993"/>
        </w:tabs>
        <w:autoSpaceDE w:val="0"/>
        <w:spacing w:before="120" w:after="0" w:line="240" w:lineRule="auto"/>
        <w:ind w:left="0"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37D6F">
        <w:rPr>
          <w:rFonts w:eastAsia="Times New Roman"/>
          <w:color w:val="000000"/>
          <w:sz w:val="20"/>
          <w:szCs w:val="20"/>
          <w:lang w:eastAsia="ru-RU"/>
        </w:rPr>
        <w:t>Сведения по форме СЗВ-ДСО</w:t>
      </w:r>
    </w:p>
    <w:p w:rsidR="00637D6F" w:rsidRDefault="00637D6F" w:rsidP="00637D6F">
      <w:pPr>
        <w:pStyle w:val="a3"/>
        <w:tabs>
          <w:tab w:val="left" w:pos="993"/>
        </w:tabs>
        <w:autoSpaceDE w:val="0"/>
        <w:spacing w:before="120" w:after="0" w:line="240" w:lineRule="auto"/>
        <w:ind w:left="709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"/>
        <w:gridCol w:w="5230"/>
        <w:gridCol w:w="4394"/>
      </w:tblGrid>
      <w:tr w:rsidR="00637D6F" w:rsidTr="007D114C">
        <w:tc>
          <w:tcPr>
            <w:tcW w:w="407" w:type="dxa"/>
          </w:tcPr>
          <w:p w:rsidR="00637D6F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30" w:type="dxa"/>
          </w:tcPr>
          <w:p w:rsidR="00637D6F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СЗВ-ДСО</w:t>
            </w:r>
          </w:p>
          <w:p w:rsidR="00637D6F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637D6F" w:rsidRDefault="00637D6F" w:rsidP="00637D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периодах работы, дающей право на ежемесячную доплату к пенсии, и сумме заработка, из которого исчисляется размер ежемесячной доплаты к пенсии, с разбивкой по месяцам отчетного периода</w:t>
            </w:r>
          </w:p>
          <w:p w:rsidR="00637D6F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637D6F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</w:p>
          <w:p w:rsidR="00637D6F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(пункт 2.1 статьи 11 Закона № 27-ФЗ)</w:t>
            </w:r>
          </w:p>
          <w:p w:rsidR="00637D6F" w:rsidRPr="00385C44" w:rsidRDefault="00637D6F" w:rsidP="007D114C">
            <w:pPr>
              <w:tabs>
                <w:tab w:val="left" w:pos="1134"/>
              </w:tabs>
              <w:autoSpaceDE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37D6F" w:rsidRDefault="00637D6F" w:rsidP="00637D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окончании календарного года не позднее 25-го числа месяца, следующего за отчетным периодом.</w:t>
            </w:r>
          </w:p>
          <w:p w:rsidR="00637D6F" w:rsidRPr="00FC3F21" w:rsidRDefault="00637D6F" w:rsidP="0095782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37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редставляют страхователи, </w:t>
            </w:r>
            <w:r w:rsidRPr="00637D6F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использующие труд членов летных экипажей воздушных судов гражданской авиации, и страхователи, относящиеся к организациям угольной промышленности</w:t>
            </w:r>
            <w:r w:rsidRPr="00637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имеющие рабочие места, занятость на которых дает право на ежемесячную доплату к пенсии, в отношении застрахованных лиц, занятых на работе, дающей право на ежемесячную доплату к пенсии</w:t>
            </w:r>
          </w:p>
        </w:tc>
      </w:tr>
    </w:tbl>
    <w:p w:rsidR="00395122" w:rsidRDefault="00395122" w:rsidP="003951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численность работающих лиц, включая лиц, заключивших договоры гражданско-правового характера, за </w:t>
      </w:r>
      <w:r w:rsidRPr="00395122">
        <w:rPr>
          <w:sz w:val="20"/>
          <w:szCs w:val="20"/>
        </w:rPr>
        <w:t>отчетный период превыш</w:t>
      </w:r>
      <w:r>
        <w:rPr>
          <w:sz w:val="20"/>
          <w:szCs w:val="20"/>
        </w:rPr>
        <w:t>ает 10 человек, необходимо представлять сведени</w:t>
      </w:r>
      <w:r w:rsidR="0095782D">
        <w:rPr>
          <w:sz w:val="20"/>
          <w:szCs w:val="20"/>
        </w:rPr>
        <w:t>я</w:t>
      </w:r>
      <w:r w:rsidR="00A33F21">
        <w:rPr>
          <w:sz w:val="20"/>
          <w:szCs w:val="20"/>
        </w:rPr>
        <w:t xml:space="preserve"> в форме электронного документа,</w:t>
      </w:r>
      <w:r>
        <w:rPr>
          <w:sz w:val="20"/>
          <w:szCs w:val="20"/>
        </w:rPr>
        <w:t xml:space="preserve"> подписанного усиленной квалифицированной электронной подписью в соответствии с </w:t>
      </w:r>
      <w:r w:rsidRPr="00395122">
        <w:rPr>
          <w:sz w:val="20"/>
          <w:szCs w:val="20"/>
        </w:rPr>
        <w:t xml:space="preserve">Федеральным </w:t>
      </w:r>
      <w:hyperlink r:id="rId8" w:history="1">
        <w:r w:rsidRPr="00395122">
          <w:rPr>
            <w:sz w:val="20"/>
            <w:szCs w:val="20"/>
          </w:rPr>
          <w:t>законом</w:t>
        </w:r>
      </w:hyperlink>
      <w:r w:rsidRPr="00395122">
        <w:rPr>
          <w:sz w:val="20"/>
          <w:szCs w:val="20"/>
        </w:rPr>
        <w:t xml:space="preserve"> от 6 апр</w:t>
      </w:r>
      <w:r>
        <w:rPr>
          <w:sz w:val="20"/>
          <w:szCs w:val="20"/>
        </w:rPr>
        <w:t>еля 2011 года N 63-ФЗ "Об электронной подписи".  За несоблюдение установленного порядка представления сведений предусмотрена ответственность.</w:t>
      </w:r>
    </w:p>
    <w:p w:rsidR="00395122" w:rsidRDefault="00395122" w:rsidP="003951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численность работающих лиц не более 10 </w:t>
      </w:r>
      <w:r w:rsidR="0095782D">
        <w:rPr>
          <w:sz w:val="20"/>
          <w:szCs w:val="20"/>
        </w:rPr>
        <w:t>человек, сведения можно представлять как в форме электронного документа, подписанного усиленной квалифицированной электронной подписью, так и в виде документов в письменной форме.</w:t>
      </w:r>
    </w:p>
    <w:p w:rsidR="00E07E67" w:rsidRDefault="00E07E67" w:rsidP="0095782D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</w:rPr>
      </w:pPr>
    </w:p>
    <w:p w:rsidR="00E07E67" w:rsidRDefault="0095782D" w:rsidP="0095782D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Вы еще не подключились к системе электронного документооборота с СФР, рекомендуем это сделать. </w:t>
      </w:r>
    </w:p>
    <w:p w:rsidR="0095782D" w:rsidRDefault="0095782D" w:rsidP="0095782D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Для этого надо:</w:t>
      </w:r>
    </w:p>
    <w:p w:rsidR="0095782D" w:rsidRDefault="0095782D" w:rsidP="0095782D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выработать электронную подпись;</w:t>
      </w:r>
    </w:p>
    <w:p w:rsidR="0095782D" w:rsidRDefault="0095782D" w:rsidP="0095782D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заключить договор с любым оператором связи;</w:t>
      </w:r>
    </w:p>
    <w:p w:rsidR="0095782D" w:rsidRDefault="0095782D" w:rsidP="0095782D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направить через сервис, предоставляемый оператором связи</w:t>
      </w:r>
      <w:r w:rsidR="00E07E67">
        <w:rPr>
          <w:sz w:val="20"/>
          <w:szCs w:val="20"/>
        </w:rPr>
        <w:t>,</w:t>
      </w:r>
      <w:r>
        <w:rPr>
          <w:sz w:val="20"/>
          <w:szCs w:val="20"/>
        </w:rPr>
        <w:t xml:space="preserve"> заявление в СФР (ПФР) на подключение к системе электронного документооборота. </w:t>
      </w:r>
    </w:p>
    <w:p w:rsidR="007B73F0" w:rsidRPr="00B22C65" w:rsidRDefault="007B73F0" w:rsidP="009578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Если Вы недавно встали на регистрационный учет, и не знаете Вашего регистрационного номера в СФР,</w:t>
      </w:r>
      <w:r w:rsidR="00A33F21">
        <w:rPr>
          <w:sz w:val="20"/>
          <w:szCs w:val="20"/>
        </w:rPr>
        <w:t xml:space="preserve"> этот номер </w:t>
      </w:r>
      <w:r>
        <w:rPr>
          <w:sz w:val="20"/>
          <w:szCs w:val="20"/>
        </w:rPr>
        <w:t>указан в выписке из ЕГРЮЛ</w:t>
      </w:r>
      <w:r w:rsidR="003E4927">
        <w:rPr>
          <w:sz w:val="20"/>
          <w:szCs w:val="20"/>
        </w:rPr>
        <w:t xml:space="preserve"> (ЕГРИП)</w:t>
      </w:r>
      <w:r>
        <w:rPr>
          <w:sz w:val="20"/>
          <w:szCs w:val="20"/>
        </w:rPr>
        <w:t>.</w:t>
      </w:r>
    </w:p>
    <w:p w:rsidR="007B73F0" w:rsidRDefault="007B73F0" w:rsidP="007B73F0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A43A35" w:rsidRDefault="00A43A35" w:rsidP="00A43A35">
      <w:pPr>
        <w:tabs>
          <w:tab w:val="left" w:pos="1134"/>
        </w:tabs>
        <w:spacing w:after="0" w:line="240" w:lineRule="auto"/>
        <w:ind w:firstLine="709"/>
        <w:jc w:val="both"/>
        <w:rPr>
          <w:color w:val="FF0000"/>
          <w:sz w:val="20"/>
          <w:szCs w:val="20"/>
        </w:rPr>
      </w:pPr>
      <w:r w:rsidRPr="006D17A0">
        <w:rPr>
          <w:color w:val="FF0000"/>
          <w:sz w:val="20"/>
          <w:szCs w:val="20"/>
        </w:rPr>
        <w:t>ВНИМАНИЕ!</w:t>
      </w:r>
    </w:p>
    <w:p w:rsidR="008C05E3" w:rsidRPr="006D17A0" w:rsidRDefault="008C05E3" w:rsidP="00A43A35">
      <w:pPr>
        <w:tabs>
          <w:tab w:val="left" w:pos="1134"/>
        </w:tabs>
        <w:spacing w:after="0" w:line="240" w:lineRule="auto"/>
        <w:ind w:firstLine="709"/>
        <w:jc w:val="both"/>
        <w:rPr>
          <w:color w:val="FF0000"/>
          <w:sz w:val="20"/>
          <w:szCs w:val="20"/>
        </w:rPr>
      </w:pPr>
    </w:p>
    <w:p w:rsidR="00A43A35" w:rsidRDefault="00A43A35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Очень важно отслеживать все протоколы, которые поступают в ответ на направленную Вами отчетность. В них могут содержаться ошибки, выявл</w:t>
      </w:r>
      <w:r w:rsidR="00A33F21">
        <w:rPr>
          <w:sz w:val="20"/>
          <w:szCs w:val="20"/>
        </w:rPr>
        <w:t>енные</w:t>
      </w:r>
      <w:r>
        <w:rPr>
          <w:sz w:val="20"/>
          <w:szCs w:val="20"/>
        </w:rPr>
        <w:t xml:space="preserve"> в поступивших сведениях. Срок на исправление  ошибок – 5 рабочих дней с даты </w:t>
      </w:r>
      <w:r w:rsidR="00A33F21">
        <w:rPr>
          <w:sz w:val="20"/>
          <w:szCs w:val="20"/>
        </w:rPr>
        <w:t>поступления к</w:t>
      </w:r>
      <w:r>
        <w:rPr>
          <w:sz w:val="20"/>
          <w:szCs w:val="20"/>
        </w:rPr>
        <w:t xml:space="preserve"> Вам протокола с ошибками.</w:t>
      </w:r>
    </w:p>
    <w:p w:rsidR="00A43A35" w:rsidRDefault="006D17A0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Кроме того, в </w:t>
      </w:r>
      <w:r w:rsidR="00A33F21">
        <w:rPr>
          <w:sz w:val="20"/>
          <w:szCs w:val="20"/>
        </w:rPr>
        <w:t>В</w:t>
      </w:r>
      <w:r>
        <w:rPr>
          <w:sz w:val="20"/>
          <w:szCs w:val="20"/>
        </w:rPr>
        <w:t xml:space="preserve">аш адрес могут поступать от СФР уведомления об устранении ошибок или расхождений в ранее </w:t>
      </w:r>
      <w:r w:rsidR="00A33F21">
        <w:rPr>
          <w:sz w:val="20"/>
          <w:szCs w:val="20"/>
        </w:rPr>
        <w:t>представленных</w:t>
      </w:r>
      <w:r>
        <w:rPr>
          <w:sz w:val="20"/>
          <w:szCs w:val="20"/>
        </w:rPr>
        <w:t xml:space="preserve"> Вами сведениях</w:t>
      </w:r>
      <w:r w:rsidR="00A33F21">
        <w:rPr>
          <w:sz w:val="20"/>
          <w:szCs w:val="20"/>
        </w:rPr>
        <w:t>. Такие ошибки и (или)</w:t>
      </w:r>
      <w:r>
        <w:rPr>
          <w:sz w:val="20"/>
          <w:szCs w:val="20"/>
        </w:rPr>
        <w:t xml:space="preserve"> </w:t>
      </w:r>
      <w:r w:rsidR="00A33F21">
        <w:rPr>
          <w:sz w:val="20"/>
          <w:szCs w:val="20"/>
        </w:rPr>
        <w:t xml:space="preserve">расхождения </w:t>
      </w:r>
      <w:r>
        <w:rPr>
          <w:sz w:val="20"/>
          <w:szCs w:val="20"/>
        </w:rPr>
        <w:t>выявл</w:t>
      </w:r>
      <w:r w:rsidR="003F2E8F">
        <w:rPr>
          <w:sz w:val="20"/>
          <w:szCs w:val="20"/>
        </w:rPr>
        <w:t>я</w:t>
      </w:r>
      <w:r w:rsidR="00A33F21">
        <w:rPr>
          <w:sz w:val="20"/>
          <w:szCs w:val="20"/>
        </w:rPr>
        <w:t>ются</w:t>
      </w:r>
      <w:r>
        <w:rPr>
          <w:sz w:val="20"/>
          <w:szCs w:val="20"/>
        </w:rPr>
        <w:t xml:space="preserve"> Фондом в результате сверки и сопоставления </w:t>
      </w:r>
      <w:r w:rsidR="003F2E8F">
        <w:rPr>
          <w:sz w:val="20"/>
          <w:szCs w:val="20"/>
        </w:rPr>
        <w:t>полученных от Вас сведений, в том числе и представленных в органы ФНС</w:t>
      </w:r>
      <w:r>
        <w:rPr>
          <w:sz w:val="20"/>
          <w:szCs w:val="20"/>
        </w:rPr>
        <w:t>. На устранени</w:t>
      </w:r>
      <w:r w:rsidR="003F2E8F">
        <w:rPr>
          <w:sz w:val="20"/>
          <w:szCs w:val="20"/>
        </w:rPr>
        <w:t>е</w:t>
      </w:r>
      <w:r>
        <w:rPr>
          <w:sz w:val="20"/>
          <w:szCs w:val="20"/>
        </w:rPr>
        <w:t xml:space="preserve"> ошибок и (или) расхождений по таким уведомлениям также отводится 5 рабочих дней.</w:t>
      </w:r>
    </w:p>
    <w:p w:rsidR="00073EC4" w:rsidRDefault="00073EC4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случае, если в течение 5 рабочих дней ошибки и (или) расхождения по уведомлению не устранены, к страхователю применяются финансовые санкции и к должностному лицу страхователя - административные штрафы. </w:t>
      </w:r>
    </w:p>
    <w:p w:rsidR="00584BA9" w:rsidRDefault="00584BA9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Если Вы не под</w:t>
      </w:r>
      <w:r w:rsidR="00073EC4">
        <w:rPr>
          <w:sz w:val="20"/>
          <w:szCs w:val="20"/>
        </w:rPr>
        <w:t>к</w:t>
      </w:r>
      <w:r>
        <w:rPr>
          <w:sz w:val="20"/>
          <w:szCs w:val="20"/>
        </w:rPr>
        <w:t>лючены к системе электронного документооборота с СФР</w:t>
      </w:r>
      <w:r w:rsidR="00073EC4">
        <w:rPr>
          <w:sz w:val="20"/>
          <w:szCs w:val="20"/>
        </w:rPr>
        <w:t xml:space="preserve">, уведомления будут направляться в Ваш адрес по почте. Неполучение </w:t>
      </w:r>
      <w:r w:rsidR="008C05E3">
        <w:rPr>
          <w:sz w:val="20"/>
          <w:szCs w:val="20"/>
        </w:rPr>
        <w:t>страхователем</w:t>
      </w:r>
      <w:r w:rsidR="00073EC4">
        <w:rPr>
          <w:sz w:val="20"/>
          <w:szCs w:val="20"/>
        </w:rPr>
        <w:t xml:space="preserve"> уведомления не </w:t>
      </w:r>
      <w:r w:rsidR="008C05E3">
        <w:rPr>
          <w:sz w:val="20"/>
          <w:szCs w:val="20"/>
        </w:rPr>
        <w:t xml:space="preserve">избавляет его от обязанности </w:t>
      </w:r>
      <w:r w:rsidR="00073EC4">
        <w:rPr>
          <w:sz w:val="20"/>
          <w:szCs w:val="20"/>
        </w:rPr>
        <w:t>по устранению перечисленных в уведомлении ошибок</w:t>
      </w:r>
      <w:r w:rsidR="008C05E3">
        <w:rPr>
          <w:sz w:val="20"/>
          <w:szCs w:val="20"/>
        </w:rPr>
        <w:t xml:space="preserve"> и (или расхождений).  </w:t>
      </w:r>
    </w:p>
    <w:p w:rsidR="006D17A0" w:rsidRDefault="006D17A0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6D17A0" w:rsidRDefault="006D17A0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ФИНАНСОВЫЕ САНКЦИИ И АДМИНИСТРАТИВНЫЕ ШТРАФЫ</w:t>
      </w:r>
      <w:r w:rsidRPr="006D17A0">
        <w:rPr>
          <w:color w:val="FF0000"/>
          <w:sz w:val="20"/>
          <w:szCs w:val="20"/>
        </w:rPr>
        <w:t>!</w:t>
      </w:r>
    </w:p>
    <w:p w:rsidR="006D17A0" w:rsidRDefault="006D17A0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6D17A0" w:rsidRDefault="006D17A0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Органами Социального фонда России накладываются </w:t>
      </w:r>
      <w:r w:rsidRPr="00385C44">
        <w:rPr>
          <w:sz w:val="20"/>
          <w:szCs w:val="20"/>
        </w:rPr>
        <w:t>финансовые санкции</w:t>
      </w:r>
      <w:r>
        <w:rPr>
          <w:sz w:val="20"/>
          <w:szCs w:val="20"/>
        </w:rPr>
        <w:t xml:space="preserve"> на работодателей и административные штрафы на должностных лиц работодателей:</w:t>
      </w:r>
    </w:p>
    <w:p w:rsidR="00584BA9" w:rsidRPr="00FC3F21" w:rsidRDefault="00584BA9" w:rsidP="00584BA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50F22">
        <w:rPr>
          <w:sz w:val="20"/>
          <w:szCs w:val="20"/>
        </w:rPr>
        <w:lastRenderedPageBreak/>
        <w:t xml:space="preserve">за непредставление в установленный срок либо представление неполных и (или) недостоверных </w:t>
      </w:r>
      <w:r w:rsidRPr="00AE6058">
        <w:rPr>
          <w:sz w:val="20"/>
          <w:szCs w:val="20"/>
        </w:rPr>
        <w:t xml:space="preserve">сведений </w:t>
      </w:r>
      <w:r w:rsidRPr="00AE6058">
        <w:rPr>
          <w:rFonts w:eastAsia="Times New Roman"/>
          <w:color w:val="000000"/>
          <w:sz w:val="20"/>
          <w:szCs w:val="20"/>
          <w:lang w:eastAsia="ru-RU"/>
        </w:rPr>
        <w:t xml:space="preserve">о датах заключения/прекращения договоров ГПХ, </w:t>
      </w:r>
      <w:r w:rsidRPr="00FC3F21">
        <w:rPr>
          <w:rFonts w:eastAsia="Times New Roman"/>
          <w:color w:val="000000"/>
          <w:sz w:val="20"/>
          <w:szCs w:val="20"/>
          <w:lang w:eastAsia="ru-RU"/>
        </w:rPr>
        <w:t>сведений о страховом стаже, сведений о застрахованных лицах, за которых перечислены дополн</w:t>
      </w:r>
      <w:bookmarkStart w:id="0" w:name="_GoBack"/>
      <w:bookmarkEnd w:id="0"/>
      <w:r w:rsidRPr="00FC3F21">
        <w:rPr>
          <w:rFonts w:eastAsia="Times New Roman"/>
          <w:color w:val="000000"/>
          <w:sz w:val="20"/>
          <w:szCs w:val="20"/>
          <w:lang w:eastAsia="ru-RU"/>
        </w:rPr>
        <w:t>ительные страховые взносы на накопительную пенсию;</w:t>
      </w:r>
    </w:p>
    <w:p w:rsidR="00584BA9" w:rsidRPr="00FC3F21" w:rsidRDefault="00584BA9" w:rsidP="00584BA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FC3F21">
        <w:rPr>
          <w:sz w:val="20"/>
          <w:szCs w:val="20"/>
        </w:rPr>
        <w:t>за непредставление сведений о начисленных страховых взносах на обязательное социальное страхование от несчастных случаев и профессиональных заболеваний в установленный срок;</w:t>
      </w:r>
    </w:p>
    <w:p w:rsidR="00584BA9" w:rsidRPr="00FC3F21" w:rsidRDefault="00584BA9" w:rsidP="00584BA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FC3F21">
        <w:rPr>
          <w:sz w:val="20"/>
          <w:szCs w:val="20"/>
        </w:rPr>
        <w:t>за несоблюдение порядка представления расчета в форме электронного документооборота.</w:t>
      </w:r>
    </w:p>
    <w:p w:rsidR="00584BA9" w:rsidRPr="00FC3F21" w:rsidRDefault="00584BA9" w:rsidP="00584BA9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</w:p>
    <w:p w:rsidR="00584BA9" w:rsidRPr="00FC3F21" w:rsidRDefault="00584BA9" w:rsidP="00584BA9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C3F21">
        <w:rPr>
          <w:rFonts w:eastAsia="Times New Roman"/>
          <w:b/>
          <w:color w:val="000000"/>
          <w:sz w:val="20"/>
          <w:szCs w:val="20"/>
          <w:lang w:eastAsia="ru-RU"/>
        </w:rPr>
        <w:t>Внимание!</w:t>
      </w:r>
      <w:r w:rsidRPr="00FC3F21">
        <w:rPr>
          <w:rFonts w:eastAsia="Times New Roman"/>
          <w:color w:val="000000"/>
          <w:sz w:val="20"/>
          <w:szCs w:val="20"/>
          <w:lang w:eastAsia="ru-RU"/>
        </w:rPr>
        <w:t xml:space="preserve"> При одновременном представлении сведений по нескольким подразделам Единой формы сведений сумма финансовых санкций определяется по каждому факту нарушения отдельно.</w:t>
      </w:r>
    </w:p>
    <w:p w:rsidR="006D17A0" w:rsidRDefault="006D17A0" w:rsidP="00A43A35">
      <w:pPr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274A65" w:rsidRPr="00FC3F21" w:rsidRDefault="00274A65" w:rsidP="00517E23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71678E" w:rsidRPr="008C05E3" w:rsidRDefault="0071678E" w:rsidP="008C05E3">
      <w:pPr>
        <w:tabs>
          <w:tab w:val="left" w:pos="1134"/>
        </w:tabs>
        <w:spacing w:after="0" w:line="240" w:lineRule="auto"/>
        <w:ind w:firstLine="709"/>
        <w:jc w:val="both"/>
        <w:rPr>
          <w:color w:val="FF0000"/>
          <w:sz w:val="20"/>
          <w:szCs w:val="20"/>
        </w:rPr>
      </w:pPr>
      <w:r w:rsidRPr="008C05E3">
        <w:rPr>
          <w:color w:val="FF0000"/>
          <w:sz w:val="20"/>
          <w:szCs w:val="20"/>
        </w:rPr>
        <w:t>УПЛАТА ФИНАНСОВЫХ САНКЦИЙ</w:t>
      </w:r>
    </w:p>
    <w:p w:rsidR="0071678E" w:rsidRPr="00385C44" w:rsidRDefault="0071678E" w:rsidP="00517E23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74A65" w:rsidRPr="00385C44" w:rsidRDefault="008C05E3" w:rsidP="00517E23">
      <w:pPr>
        <w:spacing w:after="0" w:line="240" w:lineRule="auto"/>
        <w:ind w:firstLine="709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/>
          <w:b/>
          <w:color w:val="000000"/>
          <w:sz w:val="20"/>
          <w:szCs w:val="20"/>
          <w:lang w:eastAsia="ru-RU"/>
        </w:rPr>
        <w:t>С</w:t>
      </w:r>
      <w:r w:rsidR="00274A65" w:rsidRPr="00385C44">
        <w:rPr>
          <w:rFonts w:eastAsia="Times New Roman"/>
          <w:b/>
          <w:color w:val="000000"/>
          <w:sz w:val="20"/>
          <w:szCs w:val="20"/>
          <w:lang w:eastAsia="ru-RU"/>
        </w:rPr>
        <w:t>рок</w:t>
      </w:r>
      <w:r w:rsidR="00274A65" w:rsidRPr="00385C44">
        <w:rPr>
          <w:rFonts w:eastAsia="Times New Roman"/>
          <w:color w:val="000000"/>
          <w:sz w:val="20"/>
          <w:szCs w:val="20"/>
          <w:lang w:eastAsia="ru-RU"/>
        </w:rPr>
        <w:t xml:space="preserve"> исполнения требований об уплате финансовых санкций </w:t>
      </w:r>
      <w:r>
        <w:rPr>
          <w:rFonts w:eastAsia="Times New Roman"/>
          <w:color w:val="000000"/>
          <w:sz w:val="20"/>
          <w:szCs w:val="20"/>
          <w:lang w:eastAsia="ru-RU"/>
        </w:rPr>
        <w:t>составляет</w:t>
      </w:r>
      <w:r w:rsidR="00274A65" w:rsidRPr="00385C44">
        <w:rPr>
          <w:rFonts w:eastAsia="Times New Roman"/>
          <w:b/>
          <w:color w:val="000000"/>
          <w:sz w:val="20"/>
          <w:szCs w:val="20"/>
          <w:lang w:eastAsia="ru-RU"/>
        </w:rPr>
        <w:t xml:space="preserve"> 20 календарных дней.</w:t>
      </w:r>
    </w:p>
    <w:p w:rsidR="00274A65" w:rsidRPr="00385C44" w:rsidRDefault="00274A65" w:rsidP="00517E23">
      <w:pPr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85C44">
        <w:rPr>
          <w:rFonts w:eastAsia="Times New Roman"/>
          <w:color w:val="000000"/>
          <w:sz w:val="20"/>
          <w:szCs w:val="20"/>
          <w:lang w:eastAsia="ru-RU"/>
        </w:rPr>
        <w:t xml:space="preserve">Предусмотрена </w:t>
      </w:r>
      <w:r w:rsidRPr="00385C44">
        <w:rPr>
          <w:rFonts w:eastAsia="Times New Roman"/>
          <w:b/>
          <w:color w:val="000000"/>
          <w:sz w:val="20"/>
          <w:szCs w:val="20"/>
          <w:lang w:eastAsia="ru-RU"/>
        </w:rPr>
        <w:t>оплата 50% от суммы финансовых санкций</w:t>
      </w:r>
      <w:r w:rsidRPr="00385C44">
        <w:rPr>
          <w:rFonts w:eastAsia="Times New Roman"/>
          <w:color w:val="000000"/>
          <w:sz w:val="20"/>
          <w:szCs w:val="20"/>
          <w:lang w:eastAsia="ru-RU"/>
        </w:rPr>
        <w:t>, если она произведена в первые 10 календарных дней со дня получения требования</w:t>
      </w:r>
      <w:r w:rsidR="0071678E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274A65" w:rsidRPr="00385C44" w:rsidRDefault="00274A65" w:rsidP="00517E2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257CA" w:rsidRPr="00385C44" w:rsidRDefault="004257CA" w:rsidP="00517E2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1E6C85" w:rsidRPr="00385C44" w:rsidRDefault="001E6C85" w:rsidP="00517E2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333279" w:rsidRPr="00385C44" w:rsidRDefault="00333279" w:rsidP="00517E23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54F8B" w:rsidRPr="002F0354" w:rsidRDefault="00654F8B" w:rsidP="00517E23">
      <w:pPr>
        <w:autoSpaceDE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2F0354">
        <w:rPr>
          <w:rFonts w:eastAsia="Times New Roman"/>
          <w:sz w:val="20"/>
          <w:szCs w:val="20"/>
          <w:lang w:eastAsia="ru-RU"/>
        </w:rPr>
        <w:t>С уважением,</w:t>
      </w:r>
    </w:p>
    <w:p w:rsidR="00DD07E5" w:rsidRPr="002F0354" w:rsidRDefault="00194DF2" w:rsidP="00517E23">
      <w:pPr>
        <w:autoSpaceDE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2F0354">
        <w:rPr>
          <w:rFonts w:eastAsia="Times New Roman"/>
          <w:sz w:val="20"/>
          <w:szCs w:val="20"/>
          <w:lang w:eastAsia="ru-RU"/>
        </w:rPr>
        <w:t>ОС</w:t>
      </w:r>
      <w:r w:rsidR="00654F8B" w:rsidRPr="002F0354">
        <w:rPr>
          <w:rFonts w:eastAsia="Times New Roman"/>
          <w:sz w:val="20"/>
          <w:szCs w:val="20"/>
          <w:lang w:eastAsia="ru-RU"/>
        </w:rPr>
        <w:t>ФР по Амурской области</w:t>
      </w:r>
      <w:r w:rsidR="00DD07E5" w:rsidRPr="002F0354">
        <w:rPr>
          <w:rFonts w:eastAsia="Times New Roman"/>
          <w:sz w:val="20"/>
          <w:szCs w:val="20"/>
          <w:lang w:eastAsia="ru-RU"/>
        </w:rPr>
        <w:t xml:space="preserve">, </w:t>
      </w:r>
    </w:p>
    <w:p w:rsidR="00630BE2" w:rsidRDefault="00630BE2" w:rsidP="00630BE2">
      <w:pPr>
        <w:autoSpaceDE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региональный контакт-центр для страхователей</w:t>
      </w:r>
      <w:r w:rsidRPr="00FC3F21">
        <w:rPr>
          <w:rFonts w:eastAsia="Times New Roman"/>
          <w:color w:val="000000"/>
          <w:sz w:val="20"/>
          <w:szCs w:val="20"/>
          <w:lang w:eastAsia="ru-RU"/>
        </w:rPr>
        <w:t xml:space="preserve">: </w:t>
      </w:r>
      <w:r w:rsidRPr="00705FEB">
        <w:rPr>
          <w:rFonts w:eastAsia="Times New Roman"/>
          <w:color w:val="000000"/>
          <w:sz w:val="20"/>
          <w:szCs w:val="20"/>
          <w:lang w:eastAsia="ru-RU"/>
        </w:rPr>
        <w:t>8 (4162) 202-400</w:t>
      </w:r>
    </w:p>
    <w:p w:rsidR="00630BE2" w:rsidRDefault="00630BE2" w:rsidP="00630BE2">
      <w:pPr>
        <w:autoSpaceDE w:val="0"/>
        <w:spacing w:after="0" w:line="240" w:lineRule="auto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региональный телеграмм-чат «СФР Амур работодателям»: </w:t>
      </w:r>
      <w:r w:rsidRPr="00962B39">
        <w:rPr>
          <w:rFonts w:eastAsia="Times New Roman"/>
          <w:color w:val="000000"/>
          <w:sz w:val="20"/>
          <w:szCs w:val="20"/>
          <w:lang w:eastAsia="ru-RU"/>
        </w:rPr>
        <w:t>https://t.me/osfr_amur28</w:t>
      </w:r>
    </w:p>
    <w:p w:rsidR="00654F8B" w:rsidRPr="002F0354" w:rsidRDefault="00654F8B" w:rsidP="00517E23">
      <w:pPr>
        <w:autoSpaceDE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FC3F21" w:rsidRPr="00194DF2" w:rsidRDefault="00A21E3A" w:rsidP="00584BA9">
      <w:pPr>
        <w:autoSpaceDE w:val="0"/>
        <w:spacing w:after="0" w:line="240" w:lineRule="auto"/>
        <w:ind w:firstLine="709"/>
        <w:jc w:val="both"/>
        <w:rPr>
          <w:rFonts w:eastAsia="Times New Roman"/>
          <w:color w:val="FF0000"/>
          <w:sz w:val="20"/>
          <w:szCs w:val="20"/>
          <w:lang w:eastAsia="ru-RU"/>
        </w:rPr>
      </w:pPr>
      <w:r w:rsidRPr="00194DF2">
        <w:rPr>
          <w:rFonts w:eastAsia="Times New Roman"/>
          <w:color w:val="FF0000"/>
          <w:sz w:val="20"/>
          <w:szCs w:val="20"/>
          <w:lang w:eastAsia="ru-RU"/>
        </w:rPr>
        <w:t xml:space="preserve">  </w:t>
      </w:r>
    </w:p>
    <w:p w:rsidR="00FC3F21" w:rsidRPr="00194DF2" w:rsidRDefault="00FC3F21" w:rsidP="00517E23">
      <w:pPr>
        <w:autoSpaceDE w:val="0"/>
        <w:spacing w:after="0" w:line="240" w:lineRule="auto"/>
        <w:ind w:firstLine="709"/>
        <w:jc w:val="both"/>
        <w:rPr>
          <w:rFonts w:eastAsia="Times New Roman"/>
          <w:color w:val="FF0000"/>
          <w:sz w:val="20"/>
          <w:szCs w:val="20"/>
          <w:lang w:eastAsia="ru-RU"/>
        </w:rPr>
      </w:pPr>
    </w:p>
    <w:sectPr w:rsidR="00FC3F21" w:rsidRPr="00194DF2" w:rsidSect="00D8345D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48" w:rsidRDefault="00676948" w:rsidP="003A2251">
      <w:pPr>
        <w:spacing w:after="0" w:line="240" w:lineRule="auto"/>
      </w:pPr>
      <w:r>
        <w:separator/>
      </w:r>
    </w:p>
  </w:endnote>
  <w:endnote w:type="continuationSeparator" w:id="0">
    <w:p w:rsidR="00676948" w:rsidRDefault="00676948" w:rsidP="003A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48" w:rsidRDefault="00676948" w:rsidP="003A2251">
      <w:pPr>
        <w:spacing w:after="0" w:line="240" w:lineRule="auto"/>
      </w:pPr>
      <w:r>
        <w:separator/>
      </w:r>
    </w:p>
  </w:footnote>
  <w:footnote w:type="continuationSeparator" w:id="0">
    <w:p w:rsidR="00676948" w:rsidRDefault="00676948" w:rsidP="003A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23C3"/>
    <w:multiLevelType w:val="hybridMultilevel"/>
    <w:tmpl w:val="027A8066"/>
    <w:lvl w:ilvl="0" w:tplc="5470ABF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D137B"/>
    <w:multiLevelType w:val="hybridMultilevel"/>
    <w:tmpl w:val="04EE89E4"/>
    <w:lvl w:ilvl="0" w:tplc="78D4CB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D2070D"/>
    <w:multiLevelType w:val="hybridMultilevel"/>
    <w:tmpl w:val="E2F672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9E28CA"/>
    <w:multiLevelType w:val="hybridMultilevel"/>
    <w:tmpl w:val="D4E868C2"/>
    <w:lvl w:ilvl="0" w:tplc="55EE145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CD"/>
    <w:rsid w:val="0002344A"/>
    <w:rsid w:val="00031436"/>
    <w:rsid w:val="000634D2"/>
    <w:rsid w:val="00073EC4"/>
    <w:rsid w:val="000A68BC"/>
    <w:rsid w:val="000C1E43"/>
    <w:rsid w:val="001170F2"/>
    <w:rsid w:val="00194DF2"/>
    <w:rsid w:val="001E28E2"/>
    <w:rsid w:val="001E6C85"/>
    <w:rsid w:val="001F7CD4"/>
    <w:rsid w:val="0024588F"/>
    <w:rsid w:val="00270C7F"/>
    <w:rsid w:val="00274A65"/>
    <w:rsid w:val="002A35C0"/>
    <w:rsid w:val="002B0B09"/>
    <w:rsid w:val="002D782B"/>
    <w:rsid w:val="002F0354"/>
    <w:rsid w:val="00305080"/>
    <w:rsid w:val="00321580"/>
    <w:rsid w:val="00321E00"/>
    <w:rsid w:val="00322954"/>
    <w:rsid w:val="00333279"/>
    <w:rsid w:val="00353394"/>
    <w:rsid w:val="00385C44"/>
    <w:rsid w:val="00395122"/>
    <w:rsid w:val="003A2251"/>
    <w:rsid w:val="003D4DA8"/>
    <w:rsid w:val="003E4927"/>
    <w:rsid w:val="003F2C7D"/>
    <w:rsid w:val="003F2E8F"/>
    <w:rsid w:val="00423760"/>
    <w:rsid w:val="004257CA"/>
    <w:rsid w:val="004478E9"/>
    <w:rsid w:val="004609FE"/>
    <w:rsid w:val="0047783E"/>
    <w:rsid w:val="004A3373"/>
    <w:rsid w:val="004D6DE2"/>
    <w:rsid w:val="004F4EAD"/>
    <w:rsid w:val="004F61A0"/>
    <w:rsid w:val="00516F53"/>
    <w:rsid w:val="00517E23"/>
    <w:rsid w:val="00526E9E"/>
    <w:rsid w:val="00527DE5"/>
    <w:rsid w:val="00567B18"/>
    <w:rsid w:val="00581CED"/>
    <w:rsid w:val="00584BA9"/>
    <w:rsid w:val="00585A25"/>
    <w:rsid w:val="005914D5"/>
    <w:rsid w:val="005F3C95"/>
    <w:rsid w:val="005F7750"/>
    <w:rsid w:val="005F7B90"/>
    <w:rsid w:val="00614A7C"/>
    <w:rsid w:val="00630BE2"/>
    <w:rsid w:val="00632C3F"/>
    <w:rsid w:val="00636EF3"/>
    <w:rsid w:val="00637D6F"/>
    <w:rsid w:val="00654F8B"/>
    <w:rsid w:val="00676948"/>
    <w:rsid w:val="006C701A"/>
    <w:rsid w:val="006D17A0"/>
    <w:rsid w:val="006E1FEA"/>
    <w:rsid w:val="006E25E0"/>
    <w:rsid w:val="007135FF"/>
    <w:rsid w:val="0071678E"/>
    <w:rsid w:val="00745C90"/>
    <w:rsid w:val="007461DD"/>
    <w:rsid w:val="007A12BC"/>
    <w:rsid w:val="007B73F0"/>
    <w:rsid w:val="007F5F72"/>
    <w:rsid w:val="00825B03"/>
    <w:rsid w:val="00880CF4"/>
    <w:rsid w:val="00897CBC"/>
    <w:rsid w:val="008C05E3"/>
    <w:rsid w:val="008D5774"/>
    <w:rsid w:val="008E55C3"/>
    <w:rsid w:val="008F4A5F"/>
    <w:rsid w:val="009113C3"/>
    <w:rsid w:val="00931FF7"/>
    <w:rsid w:val="0095782D"/>
    <w:rsid w:val="0096343A"/>
    <w:rsid w:val="009A6ACD"/>
    <w:rsid w:val="009C0EDD"/>
    <w:rsid w:val="009E7C52"/>
    <w:rsid w:val="00A03A8A"/>
    <w:rsid w:val="00A21E3A"/>
    <w:rsid w:val="00A24826"/>
    <w:rsid w:val="00A33F21"/>
    <w:rsid w:val="00A43A35"/>
    <w:rsid w:val="00A56FFB"/>
    <w:rsid w:val="00A97B63"/>
    <w:rsid w:val="00AA027D"/>
    <w:rsid w:val="00AB24F7"/>
    <w:rsid w:val="00AC64D2"/>
    <w:rsid w:val="00AE6058"/>
    <w:rsid w:val="00AF7F6C"/>
    <w:rsid w:val="00B22C65"/>
    <w:rsid w:val="00B25DE0"/>
    <w:rsid w:val="00B306E7"/>
    <w:rsid w:val="00B53D03"/>
    <w:rsid w:val="00B563F6"/>
    <w:rsid w:val="00BC7DE2"/>
    <w:rsid w:val="00BE1FAB"/>
    <w:rsid w:val="00C01B2A"/>
    <w:rsid w:val="00C2112E"/>
    <w:rsid w:val="00C903EC"/>
    <w:rsid w:val="00C912C6"/>
    <w:rsid w:val="00CE29D0"/>
    <w:rsid w:val="00D001A5"/>
    <w:rsid w:val="00D153D0"/>
    <w:rsid w:val="00D277D4"/>
    <w:rsid w:val="00D44E43"/>
    <w:rsid w:val="00D53226"/>
    <w:rsid w:val="00D8345D"/>
    <w:rsid w:val="00DA06AF"/>
    <w:rsid w:val="00DC5EA8"/>
    <w:rsid w:val="00DD07E5"/>
    <w:rsid w:val="00DE3338"/>
    <w:rsid w:val="00DF1348"/>
    <w:rsid w:val="00DF6C5C"/>
    <w:rsid w:val="00E07E67"/>
    <w:rsid w:val="00E734A9"/>
    <w:rsid w:val="00E755BE"/>
    <w:rsid w:val="00EA4276"/>
    <w:rsid w:val="00EC7CA1"/>
    <w:rsid w:val="00ED33AC"/>
    <w:rsid w:val="00EF1C60"/>
    <w:rsid w:val="00EF35DB"/>
    <w:rsid w:val="00F06D8C"/>
    <w:rsid w:val="00F07DF9"/>
    <w:rsid w:val="00F250AE"/>
    <w:rsid w:val="00F41D5D"/>
    <w:rsid w:val="00F47883"/>
    <w:rsid w:val="00F50F22"/>
    <w:rsid w:val="00FA371A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6A0C-CA45-4A80-AE6D-9F6B419B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94"/>
    <w:pPr>
      <w:ind w:left="720"/>
      <w:contextualSpacing/>
    </w:pPr>
  </w:style>
  <w:style w:type="table" w:styleId="a4">
    <w:name w:val="Table Grid"/>
    <w:basedOn w:val="a1"/>
    <w:uiPriority w:val="59"/>
    <w:rsid w:val="0051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74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3A225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A225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A225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3A22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A225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A2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B9B19F7532D2B3CACF6310DC0042C1CB01A4695DC8390B43147ABAC945B831284220BCBF5234097F52AE3E76073E62C41C90EA1EE3246K0Q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F6D8-23DE-48C9-98DA-BBC2A47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Осипова Лариса Геннадьевна</cp:lastModifiedBy>
  <cp:revision>24</cp:revision>
  <cp:lastPrinted>2023-03-31T07:23:00Z</cp:lastPrinted>
  <dcterms:created xsi:type="dcterms:W3CDTF">2023-03-28T23:40:00Z</dcterms:created>
  <dcterms:modified xsi:type="dcterms:W3CDTF">2024-09-23T08:02:00Z</dcterms:modified>
</cp:coreProperties>
</file>