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43A" w:rsidRDefault="00D004F7">
      <w:pPr>
        <w:pStyle w:val="ConsPlusNormal0"/>
        <w:outlineLvl w:val="0"/>
      </w:pPr>
      <w:r>
        <w:t>Зарегистрировано в Минюсте России 2 апреля 2025 г. N 81726</w:t>
      </w:r>
    </w:p>
    <w:p w:rsidR="00F7443A" w:rsidRDefault="00F7443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443A" w:rsidRDefault="00F7443A">
      <w:pPr>
        <w:pStyle w:val="ConsPlusNormal0"/>
        <w:jc w:val="both"/>
      </w:pPr>
    </w:p>
    <w:p w:rsidR="00F7443A" w:rsidRDefault="00D004F7">
      <w:pPr>
        <w:pStyle w:val="ConsPlusTitle0"/>
        <w:jc w:val="center"/>
      </w:pPr>
      <w:r>
        <w:t>ФОНД ПЕНСИОННОГО И СОЦИАЛЬНОГО СТРАХОВАНИЯ</w:t>
      </w:r>
    </w:p>
    <w:p w:rsidR="00F7443A" w:rsidRDefault="00D004F7">
      <w:pPr>
        <w:pStyle w:val="ConsPlusTitle0"/>
        <w:jc w:val="center"/>
      </w:pPr>
      <w:r>
        <w:t>РОССИЙСКОЙ ФЕДЕРАЦИИ</w:t>
      </w:r>
    </w:p>
    <w:p w:rsidR="00F7443A" w:rsidRDefault="00F7443A">
      <w:pPr>
        <w:pStyle w:val="ConsPlusTitle0"/>
        <w:jc w:val="center"/>
      </w:pPr>
    </w:p>
    <w:p w:rsidR="00F7443A" w:rsidRDefault="00D004F7">
      <w:pPr>
        <w:pStyle w:val="ConsPlusTitle0"/>
        <w:jc w:val="center"/>
      </w:pPr>
      <w:r>
        <w:t>ПРИКАЗ</w:t>
      </w:r>
    </w:p>
    <w:p w:rsidR="00F7443A" w:rsidRDefault="00D004F7">
      <w:pPr>
        <w:pStyle w:val="ConsPlusTitle0"/>
        <w:jc w:val="center"/>
      </w:pPr>
      <w:r>
        <w:t>от 28 февраля 2025 г. N 232</w:t>
      </w:r>
    </w:p>
    <w:p w:rsidR="00F7443A" w:rsidRDefault="00F7443A">
      <w:pPr>
        <w:pStyle w:val="ConsPlusTitle0"/>
        <w:ind w:firstLine="540"/>
        <w:jc w:val="both"/>
      </w:pPr>
    </w:p>
    <w:p w:rsidR="00F7443A" w:rsidRDefault="00D004F7">
      <w:pPr>
        <w:pStyle w:val="ConsPlusTitle0"/>
        <w:jc w:val="center"/>
      </w:pPr>
      <w:r>
        <w:t>ОБ УТВЕРЖДЕНИИ ПЕРЕЧНЯ</w:t>
      </w:r>
    </w:p>
    <w:p w:rsidR="00F7443A" w:rsidRDefault="00D004F7">
      <w:pPr>
        <w:pStyle w:val="ConsPlusTitle0"/>
        <w:jc w:val="center"/>
      </w:pPr>
      <w:r>
        <w:t>ДОЛЖНОСТЕЙ В ФОНДЕ ПЕНСИОННОГО И СОЦИАЛЬНОГО СТРАХОВАНИЯ</w:t>
      </w:r>
    </w:p>
    <w:p w:rsidR="00F7443A" w:rsidRDefault="00D004F7">
      <w:pPr>
        <w:pStyle w:val="ConsPlusTitle0"/>
        <w:jc w:val="center"/>
      </w:pPr>
      <w:r>
        <w:t>РОССИЙСКОЙ ФЕДЕРАЦИИ И ЕГО ТЕРРИТОРИАЛЬНЫХ ОРГАНАХ,</w:t>
      </w:r>
    </w:p>
    <w:p w:rsidR="00F7443A" w:rsidRDefault="00D004F7">
      <w:pPr>
        <w:pStyle w:val="ConsPlusTitle0"/>
        <w:jc w:val="center"/>
      </w:pPr>
      <w:r>
        <w:t xml:space="preserve">ПРИ </w:t>
      </w:r>
      <w:proofErr w:type="gramStart"/>
      <w:r>
        <w:t>НАЗНАЧЕНИИ</w:t>
      </w:r>
      <w:proofErr w:type="gramEnd"/>
      <w:r>
        <w:t xml:space="preserve"> НА КОТОРЫЕ ГРАЖДАНЕ И ПРИ ЗАМЕЩЕНИИ КОТОРЫХ</w:t>
      </w:r>
    </w:p>
    <w:p w:rsidR="00F7443A" w:rsidRDefault="00D004F7">
      <w:pPr>
        <w:pStyle w:val="ConsPlusTitle0"/>
        <w:jc w:val="center"/>
      </w:pPr>
      <w:r>
        <w:t>РАБОТНИКИ ОБЯЗАНЫ ПРЕДСТАВЛЯТЬ СВЕДЕНИЯ О СВОИХ ДОХОДАХ,</w:t>
      </w:r>
    </w:p>
    <w:p w:rsidR="00F7443A" w:rsidRDefault="00D004F7">
      <w:pPr>
        <w:pStyle w:val="ConsPlusTitle0"/>
        <w:jc w:val="center"/>
      </w:pPr>
      <w:r>
        <w:t>ОБ ИМУЩЕСТВЕ И ОБЯЗАТЕЛЬСТВАХ ИМУЩЕСТВЕННОГО ХАРАКТЕРА,</w:t>
      </w:r>
    </w:p>
    <w:p w:rsidR="00F7443A" w:rsidRDefault="00D004F7">
      <w:pPr>
        <w:pStyle w:val="ConsPlusTitle0"/>
        <w:jc w:val="center"/>
      </w:pPr>
      <w:r>
        <w:t>А ТАКЖЕ СВЕДЕНИЯ О ДОХОДАХ, ОБ И</w:t>
      </w:r>
      <w:r>
        <w:t>МУЩЕСТВЕ И ОБЯЗАТЕЛЬСТВАХ</w:t>
      </w:r>
    </w:p>
    <w:p w:rsidR="00F7443A" w:rsidRDefault="00D004F7">
      <w:pPr>
        <w:pStyle w:val="ConsPlusTitle0"/>
        <w:jc w:val="center"/>
      </w:pPr>
      <w:r>
        <w:t xml:space="preserve">ИМУЩЕСТВЕННОГО ХАРАКТЕРА </w:t>
      </w:r>
      <w:proofErr w:type="gramStart"/>
      <w:r>
        <w:t>СВОИХ</w:t>
      </w:r>
      <w:proofErr w:type="gramEnd"/>
      <w:r>
        <w:t xml:space="preserve"> СУПРУГИ (СУПРУГА)</w:t>
      </w:r>
    </w:p>
    <w:p w:rsidR="00F7443A" w:rsidRDefault="00D004F7">
      <w:pPr>
        <w:pStyle w:val="ConsPlusTitle0"/>
        <w:jc w:val="center"/>
      </w:pPr>
      <w:r>
        <w:t>И НЕСОВЕРШЕННОЛЕТНИХ ДЕТЕЙ</w:t>
      </w:r>
    </w:p>
    <w:p w:rsidR="00F7443A" w:rsidRDefault="00F7443A">
      <w:pPr>
        <w:pStyle w:val="ConsPlusNormal0"/>
        <w:ind w:firstLine="540"/>
        <w:jc w:val="both"/>
      </w:pPr>
    </w:p>
    <w:p w:rsidR="00F7443A" w:rsidRPr="006631E1" w:rsidRDefault="00D004F7">
      <w:pPr>
        <w:pStyle w:val="ConsPlusNormal0"/>
        <w:ind w:firstLine="540"/>
        <w:jc w:val="both"/>
      </w:pPr>
      <w:proofErr w:type="gramStart"/>
      <w:r w:rsidRPr="006631E1">
        <w:t xml:space="preserve">В соответствии с </w:t>
      </w:r>
      <w:hyperlink r:id="rId7" w:tooltip="Федеральный закон от 25.12.2008 N 273-ФЗ (ред. от 08.08.2024) &quot;О противодействии коррупции&quot; {КонсультантПлюс}">
        <w:r w:rsidRPr="006631E1">
          <w:t>пунктами 2</w:t>
        </w:r>
      </w:hyperlink>
      <w:r w:rsidRPr="006631E1">
        <w:t xml:space="preserve"> и </w:t>
      </w:r>
      <w:hyperlink r:id="rId8" w:tooltip="Федеральный закон от 25.12.2008 N 273-ФЗ (ред. от 08.08.2024) &quot;О противодействии коррупции&quot; {КонсультантПлюс}">
        <w:r w:rsidRPr="006631E1">
          <w:t>4 части 1 статьи 8</w:t>
        </w:r>
      </w:hyperlink>
      <w:r w:rsidRPr="006631E1">
        <w:t xml:space="preserve"> Федерального закона от 25 декабря 2008 г. N 273-ФЗ "О противодействии коррупции", с </w:t>
      </w:r>
      <w:hyperlink r:id="rId9" w:tooltip="Указ Президента РФ от 02.04.2013 N 309 (ред. от 11.11.202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 w:rsidRPr="006631E1">
          <w:t>подпунктом "в"</w:t>
        </w:r>
        <w:r w:rsidRPr="006631E1">
          <w:t xml:space="preserve"> пункта 23</w:t>
        </w:r>
      </w:hyperlink>
      <w:r w:rsidRPr="006631E1"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коррупции", а также в связи с организационно-штатными мероприятиями в Фонде пенсионного</w:t>
      </w:r>
      <w:proofErr w:type="gramEnd"/>
      <w:r w:rsidRPr="006631E1">
        <w:t xml:space="preserve"> и социально</w:t>
      </w:r>
      <w:r w:rsidRPr="006631E1">
        <w:t>го страхования Российской Федерации приказываю:</w:t>
      </w:r>
    </w:p>
    <w:p w:rsidR="00F7443A" w:rsidRPr="006631E1" w:rsidRDefault="00D004F7">
      <w:pPr>
        <w:pStyle w:val="ConsPlusNormal0"/>
        <w:spacing w:before="200"/>
        <w:ind w:firstLine="540"/>
        <w:jc w:val="both"/>
      </w:pPr>
      <w:r w:rsidRPr="006631E1">
        <w:t xml:space="preserve">1. </w:t>
      </w:r>
      <w:proofErr w:type="gramStart"/>
      <w:r w:rsidRPr="006631E1">
        <w:t xml:space="preserve">Утвердить прилагаемый </w:t>
      </w:r>
      <w:hyperlink w:anchor="P38" w:tooltip="ПЕРЕЧЕНЬ">
        <w:r w:rsidRPr="006631E1">
          <w:t>Перечень</w:t>
        </w:r>
      </w:hyperlink>
      <w:r w:rsidRPr="006631E1">
        <w:t xml:space="preserve"> должностей в Фонде пенсионного и социального страхования Российской Федерации и его территориальных органах, при назначении на которые</w:t>
      </w:r>
      <w:r w:rsidRPr="006631E1">
        <w:t xml:space="preserve">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</w:t>
      </w:r>
      <w:r w:rsidRPr="006631E1">
        <w:t>несовершеннолетних детей.</w:t>
      </w:r>
      <w:proofErr w:type="gramEnd"/>
    </w:p>
    <w:p w:rsidR="00F7443A" w:rsidRDefault="00D004F7">
      <w:pPr>
        <w:pStyle w:val="ConsPlusNormal0"/>
        <w:spacing w:before="200"/>
        <w:ind w:firstLine="540"/>
        <w:jc w:val="both"/>
      </w:pPr>
      <w:r w:rsidRPr="006631E1">
        <w:t xml:space="preserve">2. </w:t>
      </w:r>
      <w:proofErr w:type="gramStart"/>
      <w:r w:rsidRPr="006631E1">
        <w:t xml:space="preserve">Признать утратившим силу </w:t>
      </w:r>
      <w:hyperlink r:id="rId10" w:tooltip="Приказ СФР от 25.09.2023 N 1793 &quot;Об утверждении Перечня должностей в Фонде пенсионного и социального страхования Российской Федерации и его территориальных органах, при назначении на которые граждане и при замещении которых работники обязаны представлять сведе">
        <w:r w:rsidRPr="006631E1">
          <w:t>приказ</w:t>
        </w:r>
      </w:hyperlink>
      <w:r w:rsidRPr="006631E1">
        <w:t xml:space="preserve"> Фонда пенсионного и социального страхования Российской Федерации от 25 сентября 2023 г. N 1793 "Об утверж</w:t>
      </w:r>
      <w:r w:rsidRPr="006631E1">
        <w:t>дении Перечня должностей в Фонде пенсионного и социального страхования Российской Федерации и его территориальных органах, при назначении на которые граждане и при замещении которых работники обязаны представлять сведения о своих доходах, об имуществе и об</w:t>
      </w:r>
      <w:r w:rsidRPr="006631E1">
        <w:t>язательствах имущественного характера, а также сведения о</w:t>
      </w:r>
      <w:proofErr w:type="gramEnd"/>
      <w:r w:rsidRPr="006631E1">
        <w:t xml:space="preserve"> доходах, об имуществе и обязательствах имущественного характера своих супруги (супруга) и несовершеннолетних детей" (</w:t>
      </w:r>
      <w:proofErr w:type="gramStart"/>
      <w:r w:rsidRPr="006631E1">
        <w:t>зарегистрирован</w:t>
      </w:r>
      <w:proofErr w:type="gramEnd"/>
      <w:r w:rsidRPr="006631E1">
        <w:t xml:space="preserve"> Министерством юстиции</w:t>
      </w:r>
      <w:r>
        <w:t xml:space="preserve"> Российской Федерации 26 октября 2023 г., ре</w:t>
      </w:r>
      <w:r>
        <w:t>гистрационный N 75740).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председателя Фонда пенсионного и социального страхования Российской Федерации Савченко Е.Н.</w:t>
      </w:r>
    </w:p>
    <w:p w:rsidR="00F7443A" w:rsidRDefault="00F7443A">
      <w:pPr>
        <w:pStyle w:val="ConsPlusNormal0"/>
        <w:ind w:firstLine="540"/>
        <w:jc w:val="both"/>
      </w:pPr>
    </w:p>
    <w:p w:rsidR="006631E1" w:rsidRDefault="006631E1" w:rsidP="006631E1">
      <w:pPr>
        <w:pStyle w:val="ConsPlusNormal0"/>
      </w:pPr>
    </w:p>
    <w:p w:rsidR="00F7443A" w:rsidRDefault="00D004F7" w:rsidP="006631E1">
      <w:pPr>
        <w:pStyle w:val="ConsPlusNormal0"/>
      </w:pPr>
      <w:r>
        <w:t>Председатель</w:t>
      </w:r>
      <w:r w:rsidR="006631E1">
        <w:t xml:space="preserve">                                                                                                                                      </w:t>
      </w:r>
      <w:bookmarkStart w:id="0" w:name="_GoBack"/>
      <w:bookmarkEnd w:id="0"/>
      <w:r>
        <w:t>С.ЧИРКОВ</w:t>
      </w:r>
    </w:p>
    <w:p w:rsidR="00F7443A" w:rsidRDefault="00F7443A">
      <w:pPr>
        <w:pStyle w:val="ConsPlusNormal0"/>
        <w:ind w:firstLine="540"/>
        <w:jc w:val="both"/>
      </w:pPr>
    </w:p>
    <w:p w:rsidR="00F7443A" w:rsidRDefault="00F7443A">
      <w:pPr>
        <w:pStyle w:val="ConsPlusNormal0"/>
        <w:ind w:firstLine="540"/>
        <w:jc w:val="both"/>
      </w:pPr>
    </w:p>
    <w:p w:rsidR="00F7443A" w:rsidRDefault="00F7443A">
      <w:pPr>
        <w:pStyle w:val="ConsPlusNormal0"/>
        <w:ind w:firstLine="540"/>
        <w:jc w:val="both"/>
      </w:pPr>
    </w:p>
    <w:p w:rsidR="00F7443A" w:rsidRDefault="00F7443A">
      <w:pPr>
        <w:pStyle w:val="ConsPlusNormal0"/>
        <w:ind w:firstLine="540"/>
        <w:jc w:val="both"/>
      </w:pPr>
    </w:p>
    <w:p w:rsidR="00F7443A" w:rsidRDefault="00F7443A">
      <w:pPr>
        <w:pStyle w:val="ConsPlusNormal0"/>
        <w:ind w:firstLine="540"/>
        <w:jc w:val="both"/>
      </w:pPr>
    </w:p>
    <w:p w:rsidR="00CE6E83" w:rsidRDefault="00CE6E83">
      <w:pPr>
        <w:pStyle w:val="ConsPlusNormal0"/>
        <w:ind w:firstLine="540"/>
        <w:jc w:val="both"/>
      </w:pPr>
    </w:p>
    <w:p w:rsidR="00CE6E83" w:rsidRDefault="00CE6E83">
      <w:pPr>
        <w:pStyle w:val="ConsPlusNormal0"/>
        <w:ind w:firstLine="540"/>
        <w:jc w:val="both"/>
      </w:pPr>
    </w:p>
    <w:p w:rsidR="00CE6E83" w:rsidRDefault="00CE6E83">
      <w:pPr>
        <w:pStyle w:val="ConsPlusNormal0"/>
        <w:ind w:firstLine="540"/>
        <w:jc w:val="both"/>
      </w:pPr>
    </w:p>
    <w:p w:rsidR="00CE6E83" w:rsidRDefault="00CE6E83">
      <w:pPr>
        <w:pStyle w:val="ConsPlusNormal0"/>
        <w:ind w:firstLine="540"/>
        <w:jc w:val="both"/>
      </w:pPr>
    </w:p>
    <w:p w:rsidR="00CE6E83" w:rsidRDefault="00CE6E83">
      <w:pPr>
        <w:pStyle w:val="ConsPlusNormal0"/>
        <w:ind w:firstLine="540"/>
        <w:jc w:val="both"/>
      </w:pPr>
    </w:p>
    <w:p w:rsidR="00CE6E83" w:rsidRDefault="00CE6E83">
      <w:pPr>
        <w:pStyle w:val="ConsPlusNormal0"/>
        <w:ind w:firstLine="540"/>
        <w:jc w:val="both"/>
      </w:pPr>
    </w:p>
    <w:p w:rsidR="00CE6E83" w:rsidRDefault="00CE6E83">
      <w:pPr>
        <w:pStyle w:val="ConsPlusNormal0"/>
        <w:ind w:firstLine="540"/>
        <w:jc w:val="both"/>
      </w:pPr>
    </w:p>
    <w:p w:rsidR="00CE6E83" w:rsidRDefault="00CE6E83">
      <w:pPr>
        <w:pStyle w:val="ConsPlusNormal0"/>
        <w:ind w:firstLine="540"/>
        <w:jc w:val="both"/>
      </w:pPr>
    </w:p>
    <w:p w:rsidR="00CE6E83" w:rsidRDefault="00CE6E83">
      <w:pPr>
        <w:pStyle w:val="ConsPlusNormal0"/>
        <w:ind w:firstLine="540"/>
        <w:jc w:val="both"/>
      </w:pPr>
    </w:p>
    <w:p w:rsidR="00CE6E83" w:rsidRDefault="00CE6E83">
      <w:pPr>
        <w:pStyle w:val="ConsPlusNormal0"/>
        <w:ind w:firstLine="540"/>
        <w:jc w:val="both"/>
      </w:pPr>
    </w:p>
    <w:p w:rsidR="00CE6E83" w:rsidRDefault="00CE6E83">
      <w:pPr>
        <w:pStyle w:val="ConsPlusNormal0"/>
        <w:jc w:val="right"/>
        <w:outlineLvl w:val="0"/>
      </w:pPr>
    </w:p>
    <w:p w:rsidR="00F7443A" w:rsidRDefault="00D004F7">
      <w:pPr>
        <w:pStyle w:val="ConsPlusNormal0"/>
        <w:jc w:val="right"/>
        <w:outlineLvl w:val="0"/>
      </w:pPr>
      <w:r>
        <w:lastRenderedPageBreak/>
        <w:t>Утвержден</w:t>
      </w:r>
    </w:p>
    <w:p w:rsidR="00F7443A" w:rsidRDefault="00D004F7">
      <w:pPr>
        <w:pStyle w:val="ConsPlusNormal0"/>
        <w:jc w:val="right"/>
      </w:pPr>
      <w:r>
        <w:t>приказом Фонда пенсионного</w:t>
      </w:r>
    </w:p>
    <w:p w:rsidR="00F7443A" w:rsidRDefault="00D004F7">
      <w:pPr>
        <w:pStyle w:val="ConsPlusNormal0"/>
        <w:jc w:val="right"/>
      </w:pPr>
      <w:r>
        <w:t>и социального страхования</w:t>
      </w:r>
    </w:p>
    <w:p w:rsidR="00F7443A" w:rsidRDefault="00D004F7">
      <w:pPr>
        <w:pStyle w:val="ConsPlusNormal0"/>
        <w:jc w:val="right"/>
      </w:pPr>
      <w:r>
        <w:t>Российской Федерации</w:t>
      </w:r>
    </w:p>
    <w:p w:rsidR="00F7443A" w:rsidRDefault="00D004F7">
      <w:pPr>
        <w:pStyle w:val="ConsPlusNormal0"/>
        <w:jc w:val="right"/>
      </w:pPr>
      <w:r>
        <w:t>от 28 февраля 2025 г. N 232</w:t>
      </w:r>
    </w:p>
    <w:p w:rsidR="00F7443A" w:rsidRDefault="00F7443A">
      <w:pPr>
        <w:pStyle w:val="ConsPlusNormal0"/>
        <w:ind w:firstLine="540"/>
        <w:jc w:val="both"/>
      </w:pPr>
    </w:p>
    <w:p w:rsidR="00F7443A" w:rsidRDefault="00D004F7">
      <w:pPr>
        <w:pStyle w:val="ConsPlusTitle0"/>
        <w:jc w:val="center"/>
      </w:pPr>
      <w:bookmarkStart w:id="1" w:name="P38"/>
      <w:bookmarkEnd w:id="1"/>
      <w:r>
        <w:t>ПЕРЕЧЕНЬ</w:t>
      </w:r>
    </w:p>
    <w:p w:rsidR="00F7443A" w:rsidRDefault="00D004F7">
      <w:pPr>
        <w:pStyle w:val="ConsPlusTitle0"/>
        <w:jc w:val="center"/>
      </w:pPr>
      <w:r>
        <w:t>ДОЛЖНОСТЕЙ В ФОНДЕ ПЕНСИОННОГО И СОЦИАЛЬНОГО СТРАХОВАНИЯ</w:t>
      </w:r>
    </w:p>
    <w:p w:rsidR="00F7443A" w:rsidRDefault="00D004F7">
      <w:pPr>
        <w:pStyle w:val="ConsPlusTitle0"/>
        <w:jc w:val="center"/>
      </w:pPr>
      <w:r>
        <w:t>РОССИЙСКОЙ ФЕДЕРАЦИИ И ЕГО ТЕРРИТОРИАЛЬНЫХ ОРГАНАХ,</w:t>
      </w:r>
    </w:p>
    <w:p w:rsidR="00F7443A" w:rsidRDefault="00D004F7">
      <w:pPr>
        <w:pStyle w:val="ConsPlusTitle0"/>
        <w:jc w:val="center"/>
      </w:pPr>
      <w:r>
        <w:t xml:space="preserve">ПРИ </w:t>
      </w:r>
      <w:proofErr w:type="gramStart"/>
      <w:r>
        <w:t>НАЗНАЧЕНИИ</w:t>
      </w:r>
      <w:proofErr w:type="gramEnd"/>
      <w:r>
        <w:t xml:space="preserve"> НА КОТОРЫЕ ГРАЖДАНЕ И ПРИ ЗАМЕЩЕНИИ КОТОРЫХ</w:t>
      </w:r>
    </w:p>
    <w:p w:rsidR="00F7443A" w:rsidRDefault="00D004F7">
      <w:pPr>
        <w:pStyle w:val="ConsPlusTitle0"/>
        <w:jc w:val="center"/>
      </w:pPr>
      <w:r>
        <w:t>РАБОТНИКИ ОБЯЗАНЫ ПРЕДСТАВЛЯТЬ СВЕДЕНИЯ О СВОИХ ДОХОДАХ,</w:t>
      </w:r>
    </w:p>
    <w:p w:rsidR="00F7443A" w:rsidRDefault="00D004F7">
      <w:pPr>
        <w:pStyle w:val="ConsPlusTitle0"/>
        <w:jc w:val="center"/>
      </w:pPr>
      <w:r>
        <w:t>ОБ ИМУЩЕСТВЕ И ОБЯЗАТЕЛЬСТВАХ ИМУЩЕСТВЕННОГО ХАРАКТЕРА,</w:t>
      </w:r>
    </w:p>
    <w:p w:rsidR="00F7443A" w:rsidRDefault="00D004F7">
      <w:pPr>
        <w:pStyle w:val="ConsPlusTitle0"/>
        <w:jc w:val="center"/>
      </w:pPr>
      <w:r>
        <w:t>А ТАКЖЕ СВЕДЕНИЯ О ДОХОДАХ, ОБ ИМУЩЕСТВЕ И ОБЯЗАТЕЛЬСТВАХ</w:t>
      </w:r>
    </w:p>
    <w:p w:rsidR="00F7443A" w:rsidRDefault="00D004F7">
      <w:pPr>
        <w:pStyle w:val="ConsPlusTitle0"/>
        <w:jc w:val="center"/>
      </w:pPr>
      <w:r>
        <w:t xml:space="preserve">ИМУЩЕСТВЕННОГО ХАРАКТЕРА </w:t>
      </w:r>
      <w:proofErr w:type="gramStart"/>
      <w:r>
        <w:t>СВОИХ</w:t>
      </w:r>
      <w:proofErr w:type="gramEnd"/>
      <w:r>
        <w:t xml:space="preserve"> СУПРУГИ (СУПРУГА)</w:t>
      </w:r>
    </w:p>
    <w:p w:rsidR="00F7443A" w:rsidRDefault="00D004F7">
      <w:pPr>
        <w:pStyle w:val="ConsPlusTitle0"/>
        <w:jc w:val="center"/>
      </w:pPr>
      <w:r>
        <w:t>И НЕСОВЕРШЕННОЛЕТНИХ ДЕТЕЙ</w:t>
      </w:r>
    </w:p>
    <w:p w:rsidR="00F7443A" w:rsidRDefault="00F7443A">
      <w:pPr>
        <w:pStyle w:val="ConsPlusNormal0"/>
        <w:ind w:firstLine="540"/>
        <w:jc w:val="both"/>
      </w:pPr>
    </w:p>
    <w:p w:rsidR="00F7443A" w:rsidRDefault="00D004F7">
      <w:pPr>
        <w:pStyle w:val="ConsPlusTitle0"/>
        <w:ind w:firstLine="540"/>
        <w:jc w:val="both"/>
        <w:outlineLvl w:val="1"/>
      </w:pPr>
      <w:r>
        <w:t>I. Аппар</w:t>
      </w:r>
      <w:r>
        <w:t>ат при руководстве СФР: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помощник председателя СФР;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советник председателя СФР;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советник (первого заместителя председателя СФР);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советник (заместителя председателя СФР).</w:t>
      </w:r>
    </w:p>
    <w:p w:rsidR="00F7443A" w:rsidRDefault="00F7443A">
      <w:pPr>
        <w:pStyle w:val="ConsPlusNormal0"/>
        <w:ind w:firstLine="540"/>
        <w:jc w:val="both"/>
      </w:pPr>
    </w:p>
    <w:p w:rsidR="00F7443A" w:rsidRDefault="00D004F7">
      <w:pPr>
        <w:pStyle w:val="ConsPlusTitle0"/>
        <w:ind w:firstLine="540"/>
        <w:jc w:val="both"/>
        <w:outlineLvl w:val="1"/>
      </w:pPr>
      <w:r>
        <w:t>II. Центральный аппарат СФР: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начальник департамента, управления, отдела (самостоятельно</w:t>
      </w:r>
      <w:r>
        <w:t>го);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заместитель начальника департамента, управления, отдела (самостоятельного);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начальник отдела в составе департамента, управления;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заместитель начальника отдела в составе департамента, управления.</w:t>
      </w:r>
    </w:p>
    <w:p w:rsidR="00F7443A" w:rsidRDefault="00F7443A">
      <w:pPr>
        <w:pStyle w:val="ConsPlusNormal0"/>
        <w:ind w:firstLine="540"/>
        <w:jc w:val="both"/>
      </w:pPr>
    </w:p>
    <w:p w:rsidR="00F7443A" w:rsidRDefault="00D004F7">
      <w:pPr>
        <w:pStyle w:val="ConsPlusTitle0"/>
        <w:ind w:firstLine="540"/>
        <w:jc w:val="both"/>
        <w:outlineLvl w:val="1"/>
      </w:pPr>
      <w:r>
        <w:t>III. Отдельные должности в центральном аппарате СФР: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3.</w:t>
      </w:r>
      <w:r>
        <w:t>1. Департамент государственных услуг и клиентского обслуживания: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ведущий 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главный специалист-эксперт.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3.2. Департамент информационных технологий: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ведущий 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главный специалист-эксперт.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3.3. Департамент организации персонифицированного учета: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ведущий 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главный специалист-эксперт.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 xml:space="preserve">3.4. Департамент по работе с обращениями граждан, застрахованных лиц, организаций и </w:t>
      </w:r>
      <w:r>
        <w:lastRenderedPageBreak/>
        <w:t>страхователей: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ведущий 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глав</w:t>
      </w:r>
      <w:r>
        <w:t>ный специалист-эксперт.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3.5. Департамент закупочной деятельности: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ведущий 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главный специалист-эксперт;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ведущий специалист-эксперт.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3.6. Департамент по обеспечению информационной безопасности: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ведущий 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главный специалист-эксперт;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ведущий специалист-эксперт.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3.7. Департамент сопровождения ведомственных информационных систем: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ведущий 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главный специалист-эксперт;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ведущий специалист-эксперт.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3.8. Департамент организации и контроля инвестиционных процессов: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ведущий 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главный специалист-эксперт;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ведущий специалист-эксперт.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3.9. Департамент организации обеспечения страховых выплат: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ведущий 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главный</w:t>
      </w:r>
      <w:r>
        <w:t xml:space="preserve"> специалист-эксперт;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ведущий специалист-эксперт.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3.10. Департамент правовой и международной деятельности: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отдел правовой и антикоррупционной экспертизы актов СФР, отдел организации судебной работы, отдел международного взаимодействия и аналитики: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ведущий к</w:t>
      </w:r>
      <w:r>
        <w:t>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lastRenderedPageBreak/>
        <w:t>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главный специалист-эксперт.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3.11. Департамент информационных систем социального обеспечения: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ведущий 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главный специалист-эксперт.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3.12. Департамент по делам ветеранов и инвалидов:</w:t>
      </w:r>
    </w:p>
    <w:p w:rsidR="00F7443A" w:rsidRDefault="00D004F7">
      <w:pPr>
        <w:pStyle w:val="ConsPlusNormal0"/>
        <w:spacing w:before="200"/>
        <w:ind w:firstLine="540"/>
        <w:jc w:val="both"/>
      </w:pPr>
      <w:proofErr w:type="gramStart"/>
      <w:r>
        <w:t>отдел организации взаимоде</w:t>
      </w:r>
      <w:r>
        <w:t>йствия с поставщиками услуг по техническим средствам реабилитации, отдел формирования технических заданий и организации учета сведений об обеспечении техническими средствами реабилитации, отдел организации контроля обеспечения техническими средствами реаби</w:t>
      </w:r>
      <w:r>
        <w:t>литации, отдел прогнозирования и организации финансирования обеспечения техническими средствами реабилитации, отдел организации учета сведений о ветеранах и инвалидах и методического сопровождения информационных систем СФР:</w:t>
      </w:r>
      <w:proofErr w:type="gramEnd"/>
    </w:p>
    <w:p w:rsidR="00F7443A" w:rsidRDefault="00D004F7">
      <w:pPr>
        <w:pStyle w:val="ConsPlusNormal0"/>
        <w:spacing w:before="200"/>
        <w:ind w:firstLine="540"/>
        <w:jc w:val="both"/>
      </w:pPr>
      <w:r>
        <w:t>ведущий 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консультант</w:t>
      </w:r>
      <w:r>
        <w:t>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главный специалист-эксперт.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3.13. Департамент имущественных отношений: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ведущий 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главный специалист-эксперт;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ведущий специалист-эксперт;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специалист-эксперт.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3.14. Департамент социального казначейства и цифровой трансформации: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отдел координации создания и развития ЕЦП, отдел организации внутриведомственной интеграции и управления данными ЕЦП, отдел внедрения ЕЦП, отдел внедрения бизнес-процессов пенсионного и социального обеспечения ЕЦП, отдел внедрения бизнес-процессов МСЭ и оп</w:t>
      </w:r>
      <w:r>
        <w:t>ерационной деятельности ЕЦП: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ведущий 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главный специалист-эксперт.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3.15. Департамент социального обеспечения при переселении и интеграции: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общий отдел, отдел по приему граждан, отдел рассмотрения обращений граждан и организаций, отд</w:t>
      </w:r>
      <w:r>
        <w:t>ел пенсионных и социальных выплат, отдел ближнего зарубежья, отдел организации реализации международных договоров, отдел электронного взаимодействия, правового сопровождения информационных ресурсов и ведения статистики, отдел выплаты пенсий: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ведущий консул</w:t>
      </w:r>
      <w:r>
        <w:t>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главный специалист-эксперт;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lastRenderedPageBreak/>
        <w:t>ведущий специалист-эксперт.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3.16. Департамент управления делами и организационной работы: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отдел обработки документов ДСП, протокольный отдел: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ведущий 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главный специалист-эксперт.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3.17. Управление безопасности и гражданской обороны: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ведущий 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консультант.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3.18. Управление организации установления материнского (семейного) капитала: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ведущий 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главный специалист-эксперт.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3.19. Управление государственн</w:t>
      </w:r>
      <w:r>
        <w:t>ого пенсионного обеспечения государственных служащих: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ведущий 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главный специалист-эксперт.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3.20. Управление бухгалтерского учета и отчетности: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ведущий 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главный специалист-эксперт;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ведущий специалист-эксперт.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3.21. Управление кадров: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ведущий 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главный специалист-эксперт;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ведущий специалист-эксперт.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3.22. Первый отдел: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ведущий 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главный специалист-эксперт;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ведущий специалист-эксперт.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lastRenderedPageBreak/>
        <w:t>3.2</w:t>
      </w:r>
      <w:r>
        <w:t>3. Отдел по организации мероприятий мобилизационной подготовки и мобилизации: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ведущий 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главный специалист-эксперт.</w:t>
      </w:r>
    </w:p>
    <w:p w:rsidR="00F7443A" w:rsidRDefault="00F7443A">
      <w:pPr>
        <w:pStyle w:val="ConsPlusNormal0"/>
        <w:ind w:firstLine="540"/>
        <w:jc w:val="both"/>
      </w:pPr>
    </w:p>
    <w:p w:rsidR="00F7443A" w:rsidRDefault="00D004F7">
      <w:pPr>
        <w:pStyle w:val="ConsPlusTitle0"/>
        <w:ind w:firstLine="540"/>
        <w:jc w:val="both"/>
        <w:outlineLvl w:val="1"/>
      </w:pPr>
      <w:r>
        <w:t>IV. Контрольно-ревизионная комиссия Фонда пенсионного и социального страхования Российской Федерации: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 xml:space="preserve">руководитель </w:t>
      </w:r>
      <w:r>
        <w:t>Контрольно-ревизионной комиссии Фонда;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заместитель руководителя Контрольно-ревизионной комиссии Фонда;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начальник отдела;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заместитель начальника отдела;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ведущий 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главный контролер-ревизор;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старший контролер-ревизор;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главный специалист-эксперт.</w:t>
      </w:r>
    </w:p>
    <w:p w:rsidR="00F7443A" w:rsidRDefault="00F7443A">
      <w:pPr>
        <w:pStyle w:val="ConsPlusNormal0"/>
        <w:ind w:firstLine="540"/>
        <w:jc w:val="both"/>
      </w:pPr>
    </w:p>
    <w:p w:rsidR="00F7443A" w:rsidRDefault="00D004F7">
      <w:pPr>
        <w:pStyle w:val="ConsPlusTitle0"/>
        <w:ind w:firstLine="540"/>
        <w:jc w:val="both"/>
        <w:outlineLvl w:val="1"/>
      </w:pPr>
      <w:r>
        <w:t>V. Территориальные органы СФР: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5.1. Отделения СФР: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управляющий отделением СФР;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заместитель управляющего отделением СФР;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главный бухгалтер, главный бухгалтер - начальник управления, главный бухгалтер - начальник отдела;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заместитель главного бухгалтера, заместитель главного бухгалтера - заместитель начальника управления, заместитель главного бухгалтера - начальника отдела;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начальник управления, центра, отдела;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заместитель начальника управления, центра, отдела;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директор фил</w:t>
      </w:r>
      <w:r>
        <w:t>иала;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заместитель директора филиала;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руководитель клиентской службы (на правах отдела);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руководитель клиентской службы (на правах группы);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заместитель руководителя клиентской службы (на правах отдела);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руководитель группы;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помощник управляющего;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консультан</w:t>
      </w:r>
      <w:r>
        <w:t>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главный контролер-ревизор;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lastRenderedPageBreak/>
        <w:t>старший контролер-ревизор;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контролер-ревизор;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главный специалист-эксперт.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5.2. Межрегиональный информационный центр Фонда пенсионного и социального страхования Российской Федерации: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директор;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первый заместитель директора;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заместитель директора;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главный бухгалтер;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заместитель главного бухгалтера - начальник отдела;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начальник управления, отдела (самостоятельного);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заместитель начальника управления, заместитель начальника отдела (самостоятельного);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начальник отдела в составе у</w:t>
      </w:r>
      <w:r>
        <w:t>правления;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заместитель начальника отдела в составе управления;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ведущий 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консультант;</w:t>
      </w:r>
    </w:p>
    <w:p w:rsidR="00F7443A" w:rsidRDefault="00D004F7">
      <w:pPr>
        <w:pStyle w:val="ConsPlusNormal0"/>
        <w:spacing w:before="200"/>
        <w:ind w:firstLine="540"/>
        <w:jc w:val="both"/>
      </w:pPr>
      <w:r>
        <w:t>главный специалист-эксперт.</w:t>
      </w:r>
    </w:p>
    <w:p w:rsidR="00F7443A" w:rsidRDefault="00F7443A">
      <w:pPr>
        <w:pStyle w:val="ConsPlusNormal0"/>
        <w:ind w:firstLine="540"/>
        <w:jc w:val="both"/>
      </w:pPr>
    </w:p>
    <w:sectPr w:rsidR="00F7443A" w:rsidSect="00CE6E83">
      <w:footerReference w:type="default" r:id="rId11"/>
      <w:footerReference w:type="first" r:id="rId12"/>
      <w:pgSz w:w="11906" w:h="16838"/>
      <w:pgMar w:top="1134" w:right="567" w:bottom="1134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4F7" w:rsidRDefault="00D004F7">
      <w:r>
        <w:separator/>
      </w:r>
    </w:p>
  </w:endnote>
  <w:endnote w:type="continuationSeparator" w:id="0">
    <w:p w:rsidR="00D004F7" w:rsidRDefault="00D0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43A" w:rsidRDefault="00F7443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01"/>
      <w:gridCol w:w="3400"/>
      <w:gridCol w:w="3300"/>
    </w:tblGrid>
    <w:tr w:rsidR="00F7443A" w:rsidTr="00CE6E8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7443A" w:rsidRDefault="00F7443A">
          <w:pPr>
            <w:pStyle w:val="ConsPlusNormal0"/>
          </w:pPr>
        </w:p>
      </w:tc>
      <w:tc>
        <w:tcPr>
          <w:tcW w:w="1700" w:type="pct"/>
          <w:vAlign w:val="center"/>
        </w:tcPr>
        <w:p w:rsidR="00F7443A" w:rsidRDefault="00F7443A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F7443A" w:rsidRDefault="00D004F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631E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631E1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F7443A" w:rsidRDefault="00D004F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43A" w:rsidRDefault="00F7443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01"/>
      <w:gridCol w:w="3400"/>
      <w:gridCol w:w="3300"/>
    </w:tblGrid>
    <w:tr w:rsidR="00F7443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7443A" w:rsidRDefault="00F7443A">
          <w:pPr>
            <w:pStyle w:val="ConsPlusNormal0"/>
          </w:pPr>
        </w:p>
      </w:tc>
      <w:tc>
        <w:tcPr>
          <w:tcW w:w="1700" w:type="pct"/>
          <w:vAlign w:val="center"/>
        </w:tcPr>
        <w:p w:rsidR="00F7443A" w:rsidRDefault="00D004F7" w:rsidP="00CE6E83">
          <w:pPr>
            <w:pStyle w:val="ConsPlusNormal0"/>
            <w:jc w:val="center"/>
          </w:pPr>
          <w:hyperlink r:id="rId1"/>
        </w:p>
      </w:tc>
      <w:tc>
        <w:tcPr>
          <w:tcW w:w="1650" w:type="pct"/>
          <w:vAlign w:val="center"/>
        </w:tcPr>
        <w:p w:rsidR="00F7443A" w:rsidRDefault="00D004F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631E1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631E1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F7443A" w:rsidRDefault="00D004F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4F7" w:rsidRDefault="00D004F7">
      <w:r>
        <w:separator/>
      </w:r>
    </w:p>
  </w:footnote>
  <w:footnote w:type="continuationSeparator" w:id="0">
    <w:p w:rsidR="00D004F7" w:rsidRDefault="00D00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443A"/>
    <w:rsid w:val="006631E1"/>
    <w:rsid w:val="00CE6E83"/>
    <w:rsid w:val="00D004F7"/>
    <w:rsid w:val="00F7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CE6E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E8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6E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6E83"/>
  </w:style>
  <w:style w:type="paragraph" w:styleId="a7">
    <w:name w:val="footer"/>
    <w:basedOn w:val="a"/>
    <w:link w:val="a8"/>
    <w:uiPriority w:val="99"/>
    <w:unhideWhenUsed/>
    <w:rsid w:val="00CE6E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6E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78&amp;dst=100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878&amp;dst=100164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605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0138&amp;dst=100075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1622</Words>
  <Characters>9248</Characters>
  <Application>Microsoft Office Word</Application>
  <DocSecurity>0</DocSecurity>
  <Lines>77</Lines>
  <Paragraphs>21</Paragraphs>
  <ScaleCrop>false</ScaleCrop>
  <Company>КонсультантПлюс Версия 4024.00.51</Company>
  <LinksUpToDate>false</LinksUpToDate>
  <CharactersWithSpaces>10849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СФР от 28.02.2025 N 232
"Об утверждении Перечня должностей в Фонде пенсионного и социального страхования Российской Федерации и его территориальных органах,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
(Зарегистрировано в Минюсте России 02.04.</dc:title>
  <cp:lastModifiedBy>Златопольская Наира Викторовна</cp:lastModifiedBy>
  <cp:revision>3</cp:revision>
  <dcterms:created xsi:type="dcterms:W3CDTF">2025-04-15T06:26:00Z</dcterms:created>
  <dcterms:modified xsi:type="dcterms:W3CDTF">2025-04-15T06:33:00Z</dcterms:modified>
</cp:coreProperties>
</file>