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</w:t>
      </w:r>
      <w:r w:rsidRPr="002628B9">
        <w:rPr>
          <w:rFonts w:ascii="Times New Roman" w:hAnsi="Times New Roman" w:cs="Times New Roman"/>
          <w:b/>
          <w:sz w:val="48"/>
          <w:szCs w:val="48"/>
        </w:rPr>
        <w:t>А</w:t>
      </w:r>
      <w:r w:rsidRPr="002628B9">
        <w:rPr>
          <w:rFonts w:ascii="Times New Roman" w:hAnsi="Times New Roman" w:cs="Times New Roman"/>
          <w:b/>
          <w:sz w:val="48"/>
          <w:szCs w:val="48"/>
        </w:rPr>
        <w:t>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группа - 2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иждивенец - 3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 иждивенца - 4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7 120,6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Надбавка на уход </w:t>
            </w:r>
          </w:p>
          <w:p w:rsidR="00FD79AD" w:rsidRPr="00BA56B9" w:rsidRDefault="00B24E8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пенсии ГПО – 1 4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 группа -  2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31 413,73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B24E8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иждивенца - 39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56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</w:t>
            </w:r>
            <w:r w:rsidR="00B24E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120,</w:t>
            </w:r>
            <w:r w:rsidR="00133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56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III группа - 1</w:t>
            </w:r>
            <w:r w:rsidR="008C6B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B4F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C6B4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  <w:p w:rsidR="00FD79AD" w:rsidRPr="00BA56B9" w:rsidRDefault="008C6B4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иждивенец - 21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</w:t>
            </w:r>
            <w:r w:rsidR="008C6B4F">
              <w:rPr>
                <w:rFonts w:ascii="Times New Roman" w:hAnsi="Times New Roman" w:cs="Times New Roman"/>
                <w:sz w:val="20"/>
                <w:szCs w:val="20"/>
              </w:rPr>
              <w:t>27 487,</w:t>
            </w:r>
            <w:r w:rsidR="00AC56B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FD79AD" w:rsidRPr="00BA56B9" w:rsidRDefault="008C6B4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32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432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2D22">
              <w:rPr>
                <w:rFonts w:ascii="Times New Roman" w:hAnsi="Times New Roman" w:cs="Times New Roman"/>
                <w:sz w:val="20"/>
                <w:szCs w:val="20"/>
              </w:rPr>
              <w:t>8 848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32D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циалистического Труда, Героям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пеней, гражданам, нагр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знаком отличия ордена Святого Георгия - Георгиевским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183BC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39 110,10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граждения (присвоения звания) правомо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чаемой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183BC2" w:rsidP="0018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Ленинской премии,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183BC2" w:rsidP="0018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  <w:r w:rsidR="003C3E50"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осущес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влявшим подготовку 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ких чемпионов и входи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183BC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23 560,30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дусмотренной для Героя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на количество членов семьи, имеющих право на ежемесячную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нии полного набора соц. услуг в натураль</w:t>
            </w:r>
            <w:bookmarkStart w:id="0" w:name="_GoBack"/>
            <w:bookmarkEnd w:id="0"/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 действиях в составе Вооруженных Сил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дом пенсионного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.2. </w:t>
            </w:r>
            <w:proofErr w:type="gramStart"/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ском формировании, инвалида) - при 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ежемесячной денежной компе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енный билет, справка военного комисс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лефонных соединений (разговоров), с учетом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  <w:proofErr w:type="gramEnd"/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дительного исполнения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явление умершим) военнослужащего при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  <w:proofErr w:type="gramEnd"/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уголовно-исполнительной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риториях Украины, ДНР, ЛНР, Запорожской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латы проезда лиц, указа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тации и отдельных категорий граждан из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ванием электронного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181-ФЗ «О социальной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области, Запорожской области, Ку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г. Севастополя, привлече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ими возраста 18 лет, дети в возрасте до 23 лет,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должность, не отнесенную к должности государственной или муниципальной службы, работника организации и учре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лицом,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пунктом 1.1 статьи 17.1 Федерального закона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венник такого ребенка,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в рамках государственной социальной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18.Сведения о факте обучения заявителя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29.10.2022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обучающихся по очной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по договору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333D"/>
    <w:rsid w:val="0013696E"/>
    <w:rsid w:val="001377C6"/>
    <w:rsid w:val="00163D1F"/>
    <w:rsid w:val="00165DC9"/>
    <w:rsid w:val="00170206"/>
    <w:rsid w:val="00183BC2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5398B"/>
    <w:rsid w:val="00363501"/>
    <w:rsid w:val="00386B90"/>
    <w:rsid w:val="003C3E50"/>
    <w:rsid w:val="003E15DB"/>
    <w:rsid w:val="003E4E0C"/>
    <w:rsid w:val="0041064A"/>
    <w:rsid w:val="00432D22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419E9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C6B4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C56B3"/>
    <w:rsid w:val="00AD224C"/>
    <w:rsid w:val="00B24E80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447F3"/>
    <w:rsid w:val="00F71AC0"/>
    <w:rsid w:val="00F77C82"/>
    <w:rsid w:val="00F85C28"/>
    <w:rsid w:val="00F8774A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3E6759-7816-459B-84DB-1A6B39D2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40</Pages>
  <Words>13721</Words>
  <Characters>78214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042KorastelevAA</cp:lastModifiedBy>
  <cp:revision>3</cp:revision>
  <cp:lastPrinted>2025-08-06T06:26:00Z</cp:lastPrinted>
  <dcterms:created xsi:type="dcterms:W3CDTF">2026-06-10T11:55:00Z</dcterms:created>
  <dcterms:modified xsi:type="dcterms:W3CDTF">2026-06-10T12:19:00Z</dcterms:modified>
</cp:coreProperties>
</file>