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A6F" w:rsidRPr="00983A6F" w:rsidRDefault="00983A6F" w:rsidP="00983A6F">
      <w:pPr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983A6F">
        <w:rPr>
          <w:rFonts w:ascii="Times New Roman" w:hAnsi="Times New Roman" w:cs="Times New Roman"/>
          <w:b/>
          <w:sz w:val="30"/>
          <w:szCs w:val="30"/>
          <w:u w:val="single"/>
        </w:rPr>
        <w:t>Памятка для страхователей</w:t>
      </w:r>
    </w:p>
    <w:p w:rsidR="004C67F0" w:rsidRDefault="004C67F0" w:rsidP="004C67F0">
      <w:pPr>
        <w:pStyle w:val="Default"/>
        <w:jc w:val="center"/>
        <w:rPr>
          <w:b/>
          <w:u w:val="single"/>
        </w:rPr>
      </w:pPr>
      <w:r>
        <w:rPr>
          <w:rFonts w:eastAsia="Times New Roman"/>
          <w:b/>
          <w:bCs/>
          <w:kern w:val="36"/>
          <w:sz w:val="26"/>
          <w:szCs w:val="26"/>
          <w:u w:val="single"/>
          <w:lang w:eastAsia="ru-RU"/>
        </w:rPr>
        <w:t xml:space="preserve">Об изменениях, внесенных в </w:t>
      </w:r>
      <w:r w:rsidRPr="004C67F0">
        <w:rPr>
          <w:rFonts w:eastAsia="Times New Roman"/>
          <w:b/>
          <w:bCs/>
          <w:kern w:val="36"/>
          <w:sz w:val="26"/>
          <w:szCs w:val="26"/>
          <w:u w:val="single"/>
          <w:lang w:eastAsia="ru-RU"/>
        </w:rPr>
        <w:t>приказ</w:t>
      </w:r>
      <w:r w:rsidRPr="004C67F0">
        <w:rPr>
          <w:b/>
          <w:u w:val="single"/>
        </w:rPr>
        <w:t xml:space="preserve"> СФР от 29.12.2024 № 271</w:t>
      </w:r>
      <w:r w:rsidR="00CF1386">
        <w:rPr>
          <w:b/>
          <w:u w:val="single"/>
        </w:rPr>
        <w:t>3</w:t>
      </w:r>
    </w:p>
    <w:p w:rsidR="004C67F0" w:rsidRPr="004C67F0" w:rsidRDefault="004C67F0" w:rsidP="004C67F0">
      <w:pPr>
        <w:pStyle w:val="Default"/>
        <w:jc w:val="center"/>
      </w:pPr>
    </w:p>
    <w:p w:rsidR="00CF1386" w:rsidRPr="00DA2602" w:rsidRDefault="00DB0C6C" w:rsidP="00C13AEA">
      <w:pPr>
        <w:pStyle w:val="Default"/>
        <w:suppressAutoHyphens/>
        <w:ind w:firstLine="709"/>
        <w:jc w:val="both"/>
      </w:pPr>
      <w:r w:rsidRPr="00DA2602">
        <w:t xml:space="preserve"> </w:t>
      </w:r>
      <w:proofErr w:type="gramStart"/>
      <w:r w:rsidRPr="00DA2602">
        <w:t>Отделение Фонда пенсионного и социального страхования Российской Федерации по Брянской</w:t>
      </w:r>
      <w:r w:rsidR="005916A7">
        <w:t xml:space="preserve"> области</w:t>
      </w:r>
      <w:r w:rsidR="007B0A4E" w:rsidRPr="00DA2602">
        <w:t xml:space="preserve"> (далее</w:t>
      </w:r>
      <w:r w:rsidR="00362CDE" w:rsidRPr="00DA2602">
        <w:t xml:space="preserve"> </w:t>
      </w:r>
      <w:r w:rsidR="007B0A4E" w:rsidRPr="00DA2602">
        <w:t>- ОСФР по Брянской области)</w:t>
      </w:r>
      <w:r w:rsidRPr="00DA2602">
        <w:t xml:space="preserve"> </w:t>
      </w:r>
      <w:r w:rsidR="004C67F0" w:rsidRPr="00DA2602">
        <w:t xml:space="preserve">в связи с изменениями, внесёнными приказом СФР </w:t>
      </w:r>
      <w:r w:rsidR="008F3605">
        <w:t>от 30 декабря 2025</w:t>
      </w:r>
      <w:r w:rsidR="00CF1386" w:rsidRPr="00DA2602">
        <w:t xml:space="preserve"> г. № 1786 </w:t>
      </w:r>
      <w:r w:rsidR="004C67F0" w:rsidRPr="00DA2602">
        <w:t>(далее -  Приказ № 178</w:t>
      </w:r>
      <w:r w:rsidR="00CF1386" w:rsidRPr="00DA2602">
        <w:t>6</w:t>
      </w:r>
      <w:r w:rsidR="004C67F0" w:rsidRPr="00DA2602">
        <w:t xml:space="preserve">)  </w:t>
      </w:r>
      <w:r w:rsidR="00CF1386" w:rsidRPr="00DA2602">
        <w:t>в Решение о порядке предоставления субсидии на государственную поддержку трудоустройства работников из другой местности или других территорий, утверждённое приказом Фонда пенсионного и социального страхования Российской Федерации от 29</w:t>
      </w:r>
      <w:proofErr w:type="gramEnd"/>
      <w:r w:rsidR="00CF1386" w:rsidRPr="00DA2602">
        <w:t xml:space="preserve"> декабря 2024 г. № 2713 </w:t>
      </w:r>
      <w:r w:rsidR="004C67F0" w:rsidRPr="00DA2602">
        <w:t xml:space="preserve">(далее – Решение </w:t>
      </w:r>
      <w:r w:rsidR="00CF1386" w:rsidRPr="00DA2602">
        <w:t>№ 2713</w:t>
      </w:r>
      <w:r w:rsidR="004C67F0" w:rsidRPr="00DA2602">
        <w:t>), сообщает следующее.</w:t>
      </w:r>
    </w:p>
    <w:p w:rsidR="00CF1386" w:rsidRPr="00DA2602" w:rsidRDefault="00CF1386" w:rsidP="00DA2602">
      <w:pPr>
        <w:pStyle w:val="Default"/>
        <w:numPr>
          <w:ilvl w:val="0"/>
          <w:numId w:val="4"/>
        </w:numPr>
        <w:suppressAutoHyphens/>
        <w:ind w:left="714" w:hanging="357"/>
        <w:jc w:val="both"/>
      </w:pPr>
      <w:r w:rsidRPr="00DA2602">
        <w:t xml:space="preserve"> </w:t>
      </w:r>
      <w:r w:rsidR="000B6175" w:rsidRPr="00DA2602">
        <w:t>Приказом № 1786 из Решения № 2713 и</w:t>
      </w:r>
      <w:r w:rsidRPr="00DA2602">
        <w:t xml:space="preserve">сключены положения, указывающие на необходимость опубликования на официальных сайтах высших исполнительных </w:t>
      </w:r>
      <w:proofErr w:type="gramStart"/>
      <w:r w:rsidRPr="00DA2602">
        <w:t>органов субъектов Российской Федерации перечней организаций</w:t>
      </w:r>
      <w:proofErr w:type="gramEnd"/>
      <w:r w:rsidRPr="00DA2602">
        <w:t xml:space="preserve"> и профессий, испытывающих потребность в привлечении работников. </w:t>
      </w:r>
      <w:proofErr w:type="gramStart"/>
      <w:r w:rsidRPr="00DA2602">
        <w:t>Вместе с тем, одним из критериев для включения организации в указанный перечень является принадлежность организации к оборонно-промышленному комплексу и её включение в сводный реестр организаций оборонно-промышленного комплекса в соответствии с постановлением Правительства Российской Федерации от 20 февраля 2004 г. № 96 «О сводном реестре организаций оборонно-промышленного комплекса»</w:t>
      </w:r>
      <w:r w:rsidR="000B6175" w:rsidRPr="00DA2602">
        <w:t>, ведение которого осуществляет Министерство промышленности и торговли Российской Федерации</w:t>
      </w:r>
      <w:r w:rsidR="00F93610">
        <w:t>;</w:t>
      </w:r>
      <w:proofErr w:type="gramEnd"/>
    </w:p>
    <w:p w:rsidR="003653E4" w:rsidRPr="00DA2602" w:rsidRDefault="000B6175" w:rsidP="00DA2602">
      <w:pPr>
        <w:pStyle w:val="Default"/>
        <w:numPr>
          <w:ilvl w:val="0"/>
          <w:numId w:val="4"/>
        </w:numPr>
        <w:suppressAutoHyphens/>
        <w:jc w:val="both"/>
      </w:pPr>
      <w:proofErr w:type="gramStart"/>
      <w:r w:rsidRPr="00DA2602">
        <w:t>В целях исключения возможности получения субсидии на одни и те же категории трудоустраиваемых граждан, Приказом № 1786 уточнена формулировка пункта «в» Требований к получателям субсидии Решения № 2713, в целях закрепления положения о том, что получатель субсидии не должен получать средства из бюджетов бюджетной системы Российской Федерации на основании иных нормативных правовых актов Российской Федерации (нормативных правовых актов субъекта Российской Федерации, муниципальных</w:t>
      </w:r>
      <w:proofErr w:type="gramEnd"/>
      <w:r w:rsidRPr="00DA2602">
        <w:t xml:space="preserve"> правовых актов), решений о порядке предоставления субсидий в целях компенсации затрат работодателя на выплату заработной платы трудоустроенным работникам из другой местности или других категорий. Вместе с тем, пун</w:t>
      </w:r>
      <w:r w:rsidR="00F93610">
        <w:t>кт 4 перечня критериев исключен;</w:t>
      </w:r>
    </w:p>
    <w:p w:rsidR="004C67F0" w:rsidRPr="00DA2602" w:rsidRDefault="003653E4" w:rsidP="00DA2602">
      <w:pPr>
        <w:pStyle w:val="Default"/>
        <w:numPr>
          <w:ilvl w:val="0"/>
          <w:numId w:val="4"/>
        </w:numPr>
        <w:suppressAutoHyphens/>
        <w:jc w:val="both"/>
      </w:pPr>
      <w:r w:rsidRPr="00DA2602">
        <w:t>Приказом № 178</w:t>
      </w:r>
      <w:r w:rsidR="000B6175" w:rsidRPr="00DA2602">
        <w:t>6</w:t>
      </w:r>
      <w:r w:rsidR="008F3605" w:rsidRPr="008F3605">
        <w:t xml:space="preserve"> </w:t>
      </w:r>
      <w:r w:rsidR="008F3605">
        <w:t xml:space="preserve">уточнен показатель </w:t>
      </w:r>
      <w:r w:rsidR="008F3605" w:rsidRPr="003653E4">
        <w:t>для расчета</w:t>
      </w:r>
      <w:r w:rsidR="008F3605">
        <w:t xml:space="preserve"> </w:t>
      </w:r>
      <w:r w:rsidR="008F3605" w:rsidRPr="003653E4">
        <w:t>субсидии</w:t>
      </w:r>
      <w:r w:rsidR="008F3605">
        <w:t xml:space="preserve"> – размер страховых взносов, с учетом ст. 425, 427-429 НК РФ, предусматривающих применение различных тарифов страховых взносов к плательщикам. Ранее не учитывались пониженные тарифы страховых взносов</w:t>
      </w:r>
      <w:r w:rsidRPr="00DA2602">
        <w:t>;</w:t>
      </w:r>
    </w:p>
    <w:p w:rsidR="00DA2602" w:rsidRPr="00DA2602" w:rsidRDefault="00DA2602" w:rsidP="00DA2602">
      <w:pPr>
        <w:pStyle w:val="Default"/>
        <w:numPr>
          <w:ilvl w:val="0"/>
          <w:numId w:val="4"/>
        </w:numPr>
        <w:suppressAutoHyphens/>
        <w:jc w:val="both"/>
      </w:pPr>
      <w:proofErr w:type="gramStart"/>
      <w:r w:rsidRPr="00DA2602">
        <w:t>Приказом № 178</w:t>
      </w:r>
      <w:r w:rsidR="00F93610">
        <w:t>6</w:t>
      </w:r>
      <w:r w:rsidRPr="00DA2602">
        <w:t xml:space="preserve"> предусмотрено изменение положений Решения № 2713 о порядке расчета объема средств, подлежащих возврату в бюджет СФР в случае нарушения получателем субсидий условий, установленных при предоставлении субсидии, выявленного, в том числе по фактам проверок, проведенных СФР и (или) органом государственного финансового контроля (за исключением случая </w:t>
      </w:r>
      <w:proofErr w:type="spellStart"/>
      <w:r w:rsidRPr="00DA2602">
        <w:t>недостижения</w:t>
      </w:r>
      <w:proofErr w:type="spellEnd"/>
      <w:r w:rsidRPr="00DA2602">
        <w:t xml:space="preserve"> значения результата предоставления субсидии).</w:t>
      </w:r>
      <w:proofErr w:type="gramEnd"/>
      <w:r w:rsidRPr="00DA2602">
        <w:t xml:space="preserve"> В указанном случае к получателю субсидии применяются штрафные санкции в объеме выявленных нарушений, подлежащие перечислению в доход бюджета СФР.</w:t>
      </w:r>
    </w:p>
    <w:p w:rsidR="00181E69" w:rsidRPr="00AC32E9" w:rsidRDefault="00181E69" w:rsidP="00181E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</w:p>
    <w:p w:rsidR="00895441" w:rsidRDefault="004B48B0" w:rsidP="00181E69">
      <w:pPr>
        <w:pStyle w:val="a4"/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i/>
          <w:sz w:val="24"/>
          <w:szCs w:val="24"/>
        </w:rPr>
      </w:pPr>
      <w:bookmarkStart w:id="0" w:name="_GoBack"/>
      <w:r w:rsidRPr="00AC32E9">
        <w:rPr>
          <w:i/>
          <w:sz w:val="24"/>
          <w:szCs w:val="24"/>
        </w:rPr>
        <w:t>Телефон</w:t>
      </w:r>
      <w:r w:rsidR="00895441" w:rsidRPr="00AC32E9">
        <w:rPr>
          <w:i/>
          <w:sz w:val="24"/>
          <w:szCs w:val="24"/>
        </w:rPr>
        <w:t xml:space="preserve"> </w:t>
      </w:r>
      <w:proofErr w:type="gramStart"/>
      <w:r w:rsidR="00895441" w:rsidRPr="00AC32E9">
        <w:rPr>
          <w:i/>
          <w:sz w:val="24"/>
          <w:szCs w:val="24"/>
        </w:rPr>
        <w:t>регионального</w:t>
      </w:r>
      <w:proofErr w:type="gramEnd"/>
      <w:r w:rsidR="00895441" w:rsidRPr="00AC32E9">
        <w:rPr>
          <w:i/>
          <w:sz w:val="24"/>
          <w:szCs w:val="24"/>
        </w:rPr>
        <w:t xml:space="preserve"> контакт-центра для страхователей – </w:t>
      </w:r>
      <w:r w:rsidR="00895441" w:rsidRPr="00AC32E9">
        <w:rPr>
          <w:bCs/>
          <w:i/>
          <w:color w:val="212121"/>
          <w:sz w:val="24"/>
          <w:szCs w:val="24"/>
          <w:shd w:val="clear" w:color="auto" w:fill="FFFFFF"/>
        </w:rPr>
        <w:t>8(4832) 77-06-79, а</w:t>
      </w:r>
      <w:r w:rsidRPr="00AC32E9">
        <w:rPr>
          <w:bCs/>
          <w:i/>
          <w:color w:val="212121"/>
          <w:sz w:val="24"/>
          <w:szCs w:val="24"/>
          <w:shd w:val="clear" w:color="auto" w:fill="FFFFFF"/>
        </w:rPr>
        <w:t xml:space="preserve"> также </w:t>
      </w:r>
      <w:r w:rsidR="00895441" w:rsidRPr="00AC32E9">
        <w:rPr>
          <w:bCs/>
          <w:i/>
          <w:color w:val="212121"/>
          <w:sz w:val="24"/>
          <w:szCs w:val="24"/>
          <w:shd w:val="clear" w:color="auto" w:fill="FFFFFF"/>
        </w:rPr>
        <w:t xml:space="preserve"> телефон специалистов </w:t>
      </w:r>
      <w:r w:rsidRPr="00AC32E9">
        <w:rPr>
          <w:i/>
          <w:sz w:val="24"/>
          <w:szCs w:val="24"/>
        </w:rPr>
        <w:t>8(4832) 62-41-</w:t>
      </w:r>
      <w:r w:rsidR="00181E69" w:rsidRPr="00AC32E9">
        <w:rPr>
          <w:i/>
          <w:sz w:val="24"/>
          <w:szCs w:val="24"/>
        </w:rPr>
        <w:t>61</w:t>
      </w:r>
      <w:r w:rsidR="00895441" w:rsidRPr="00AC32E9">
        <w:rPr>
          <w:i/>
          <w:sz w:val="24"/>
          <w:szCs w:val="24"/>
        </w:rPr>
        <w:t>.</w:t>
      </w:r>
    </w:p>
    <w:p w:rsidR="00C13AEA" w:rsidRPr="00C13AEA" w:rsidRDefault="00C13AEA" w:rsidP="00C13AEA">
      <w:pPr>
        <w:pStyle w:val="a4"/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i/>
          <w:sz w:val="24"/>
          <w:szCs w:val="24"/>
        </w:rPr>
      </w:pPr>
      <w:r w:rsidRPr="00C13AEA">
        <w:rPr>
          <w:i/>
          <w:sz w:val="24"/>
          <w:szCs w:val="24"/>
        </w:rPr>
        <w:t>О</w:t>
      </w:r>
      <w:r w:rsidRPr="00C13AEA">
        <w:rPr>
          <w:i/>
          <w:sz w:val="24"/>
          <w:szCs w:val="24"/>
        </w:rPr>
        <w:t>фициаль</w:t>
      </w:r>
      <w:r>
        <w:rPr>
          <w:i/>
          <w:sz w:val="24"/>
          <w:szCs w:val="24"/>
        </w:rPr>
        <w:t>ный сайт</w:t>
      </w:r>
      <w:r w:rsidRPr="00C13AEA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ОСФР</w:t>
      </w:r>
      <w:r w:rsidRPr="00C13AEA">
        <w:rPr>
          <w:i/>
          <w:sz w:val="24"/>
          <w:szCs w:val="24"/>
        </w:rPr>
        <w:t xml:space="preserve"> по Брянской области </w:t>
      </w:r>
      <w:r>
        <w:rPr>
          <w:i/>
          <w:sz w:val="24"/>
          <w:szCs w:val="24"/>
        </w:rPr>
        <w:t xml:space="preserve">- </w:t>
      </w:r>
      <w:r w:rsidRPr="00C13AEA">
        <w:rPr>
          <w:i/>
          <w:color w:val="1F497D" w:themeColor="text2"/>
          <w:sz w:val="24"/>
          <w:szCs w:val="24"/>
        </w:rPr>
        <w:t>sfr.gov.ru/</w:t>
      </w:r>
      <w:proofErr w:type="spellStart"/>
      <w:r w:rsidRPr="00C13AEA">
        <w:rPr>
          <w:i/>
          <w:color w:val="1F497D" w:themeColor="text2"/>
          <w:sz w:val="24"/>
          <w:szCs w:val="24"/>
        </w:rPr>
        <w:t>branches</w:t>
      </w:r>
      <w:proofErr w:type="spellEnd"/>
      <w:r w:rsidRPr="00C13AEA">
        <w:rPr>
          <w:i/>
          <w:color w:val="1F497D" w:themeColor="text2"/>
          <w:sz w:val="24"/>
          <w:szCs w:val="24"/>
        </w:rPr>
        <w:t>/</w:t>
      </w:r>
      <w:proofErr w:type="spellStart"/>
      <w:r w:rsidRPr="00C13AEA">
        <w:rPr>
          <w:i/>
          <w:color w:val="1F497D" w:themeColor="text2"/>
          <w:sz w:val="24"/>
          <w:szCs w:val="24"/>
        </w:rPr>
        <w:t>bryansk</w:t>
      </w:r>
      <w:proofErr w:type="spellEnd"/>
    </w:p>
    <w:bookmarkEnd w:id="0"/>
    <w:p w:rsidR="0094252A" w:rsidRPr="00AC32E9" w:rsidRDefault="008F3605" w:rsidP="00181E69">
      <w:pPr>
        <w:pStyle w:val="a4"/>
        <w:numPr>
          <w:ilvl w:val="0"/>
          <w:numId w:val="1"/>
        </w:numPr>
        <w:tabs>
          <w:tab w:val="left" w:pos="142"/>
        </w:tabs>
        <w:spacing w:after="200"/>
        <w:ind w:left="709" w:hanging="709"/>
        <w:jc w:val="both"/>
        <w:rPr>
          <w:sz w:val="24"/>
          <w:szCs w:val="24"/>
        </w:rPr>
      </w:pPr>
      <w:r w:rsidRPr="003826AB">
        <w:rPr>
          <w:bCs/>
          <w:i/>
          <w:noProof/>
          <w:color w:val="212121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63360" behindDoc="0" locked="0" layoutInCell="1" allowOverlap="1" wp14:anchorId="38CD30F8" wp14:editId="32DC6985">
            <wp:simplePos x="0" y="0"/>
            <wp:positionH relativeFrom="column">
              <wp:posOffset>4600575</wp:posOffset>
            </wp:positionH>
            <wp:positionV relativeFrom="paragraph">
              <wp:posOffset>377190</wp:posOffset>
            </wp:positionV>
            <wp:extent cx="1147445" cy="872490"/>
            <wp:effectExtent l="0" t="0" r="0" b="3810"/>
            <wp:wrapSquare wrapText="bothSides"/>
            <wp:docPr id="8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340" t="44085" r="5417" b="8266"/>
                    <a:stretch/>
                  </pic:blipFill>
                  <pic:spPr bwMode="auto">
                    <a:xfrm>
                      <a:off x="0" y="0"/>
                      <a:ext cx="1147445" cy="872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2602" w:rsidRPr="00181E69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577486BB" wp14:editId="2C61A394">
            <wp:simplePos x="0" y="0"/>
            <wp:positionH relativeFrom="column">
              <wp:posOffset>300990</wp:posOffset>
            </wp:positionH>
            <wp:positionV relativeFrom="paragraph">
              <wp:posOffset>183515</wp:posOffset>
            </wp:positionV>
            <wp:extent cx="1244600" cy="1214755"/>
            <wp:effectExtent l="0" t="0" r="0" b="4445"/>
            <wp:wrapNone/>
            <wp:docPr id="2" name="Рисунок 2" descr="C:\Users\042MironovaAE\Downloads\IMG_20240705_160610_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42MironovaAE\Downloads\IMG_20240705_160610_8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4252A" w:rsidRPr="00AC32E9">
        <w:rPr>
          <w:i/>
          <w:sz w:val="24"/>
          <w:szCs w:val="24"/>
        </w:rPr>
        <w:t>Телеграм</w:t>
      </w:r>
      <w:proofErr w:type="spellEnd"/>
      <w:r w:rsidR="0094252A" w:rsidRPr="00AC32E9">
        <w:rPr>
          <w:i/>
          <w:sz w:val="24"/>
          <w:szCs w:val="24"/>
        </w:rPr>
        <w:t xml:space="preserve">-чат для страхователей: ссылка -  </w:t>
      </w:r>
      <w:r w:rsidR="0094252A" w:rsidRPr="00C13AEA">
        <w:rPr>
          <w:color w:val="1F497D" w:themeColor="text2"/>
          <w:sz w:val="24"/>
          <w:szCs w:val="24"/>
          <w:u w:val="single"/>
        </w:rPr>
        <w:t>https://t.me/+O2ASQjRwolBjZmEy</w:t>
      </w:r>
    </w:p>
    <w:p w:rsidR="0094252A" w:rsidRDefault="0094252A" w:rsidP="0094252A">
      <w:pPr>
        <w:tabs>
          <w:tab w:val="left" w:pos="142"/>
        </w:tabs>
        <w:spacing w:line="240" w:lineRule="auto"/>
        <w:contextualSpacing/>
        <w:jc w:val="right"/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</w:pPr>
    </w:p>
    <w:sectPr w:rsidR="0094252A" w:rsidSect="0089544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45EE7"/>
    <w:multiLevelType w:val="hybridMultilevel"/>
    <w:tmpl w:val="A7AE5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5626A"/>
    <w:multiLevelType w:val="hybridMultilevel"/>
    <w:tmpl w:val="825A3BE0"/>
    <w:lvl w:ilvl="0" w:tplc="0419000D">
      <w:start w:val="1"/>
      <w:numFmt w:val="bullet"/>
      <w:lvlText w:val=""/>
      <w:lvlJc w:val="left"/>
      <w:pPr>
        <w:ind w:left="1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">
    <w:nsid w:val="68D211C0"/>
    <w:multiLevelType w:val="hybridMultilevel"/>
    <w:tmpl w:val="95A4232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B8E66FF"/>
    <w:multiLevelType w:val="hybridMultilevel"/>
    <w:tmpl w:val="A14EAC8A"/>
    <w:lvl w:ilvl="0" w:tplc="989E8B36">
      <w:start w:val="1"/>
      <w:numFmt w:val="bullet"/>
      <w:lvlText w:val=""/>
      <w:lvlJc w:val="left"/>
      <w:pPr>
        <w:ind w:left="1429" w:hanging="360"/>
      </w:pPr>
      <w:rPr>
        <w:rFonts w:ascii="Symbol" w:hAnsi="Symbol" w:hint="default"/>
        <w:b/>
        <w:color w:val="1F497D" w:themeColor="text2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F9"/>
    <w:rsid w:val="000530C2"/>
    <w:rsid w:val="000B4E5E"/>
    <w:rsid w:val="000B6175"/>
    <w:rsid w:val="000E6A7F"/>
    <w:rsid w:val="00181E69"/>
    <w:rsid w:val="0019121D"/>
    <w:rsid w:val="00362CDE"/>
    <w:rsid w:val="003653E4"/>
    <w:rsid w:val="004B48B0"/>
    <w:rsid w:val="004C67F0"/>
    <w:rsid w:val="004D4937"/>
    <w:rsid w:val="005916A7"/>
    <w:rsid w:val="00601BC7"/>
    <w:rsid w:val="006316C1"/>
    <w:rsid w:val="006567A8"/>
    <w:rsid w:val="007B0A4E"/>
    <w:rsid w:val="007B1919"/>
    <w:rsid w:val="008166FD"/>
    <w:rsid w:val="00895441"/>
    <w:rsid w:val="008F3605"/>
    <w:rsid w:val="008F59B3"/>
    <w:rsid w:val="0094252A"/>
    <w:rsid w:val="00983A6F"/>
    <w:rsid w:val="009C2BB3"/>
    <w:rsid w:val="009D31F9"/>
    <w:rsid w:val="00A21CBD"/>
    <w:rsid w:val="00A74502"/>
    <w:rsid w:val="00AC32E9"/>
    <w:rsid w:val="00B1316F"/>
    <w:rsid w:val="00BB672C"/>
    <w:rsid w:val="00BD5283"/>
    <w:rsid w:val="00C13AEA"/>
    <w:rsid w:val="00CF1386"/>
    <w:rsid w:val="00CF4066"/>
    <w:rsid w:val="00D20A65"/>
    <w:rsid w:val="00D40E81"/>
    <w:rsid w:val="00D53EE0"/>
    <w:rsid w:val="00DA2602"/>
    <w:rsid w:val="00DB0C6C"/>
    <w:rsid w:val="00E06090"/>
    <w:rsid w:val="00E915A7"/>
    <w:rsid w:val="00F9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31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31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D3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954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DB0C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31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31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D3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954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DB0C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4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3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1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9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ГУ- Алтайское региональное отделение ФСС РФ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Царегородцева Наталья Владимировна</dc:creator>
  <cp:lastModifiedBy>Лозинская Дарья Александровна</cp:lastModifiedBy>
  <cp:revision>7</cp:revision>
  <cp:lastPrinted>2025-12-09T07:36:00Z</cp:lastPrinted>
  <dcterms:created xsi:type="dcterms:W3CDTF">2026-02-06T12:43:00Z</dcterms:created>
  <dcterms:modified xsi:type="dcterms:W3CDTF">2026-02-12T08:26:00Z</dcterms:modified>
</cp:coreProperties>
</file>