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841C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841C0E" w:rsidRPr="00841C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841C0E" w:rsidRPr="00841C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841C0E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841C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841C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9A582D" w:rsidRDefault="00C86E12" w:rsidP="00C86E12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E7125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E7125F" w:rsidRPr="00E7125F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уведомления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работников:</w:t>
      </w:r>
    </w:p>
    <w:p w:rsidR="008F037C" w:rsidRDefault="00E7125F" w:rsidP="008F037C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5"/>
          <w:szCs w:val="25"/>
        </w:rPr>
      </w:pPr>
      <w:r w:rsidRPr="00E7125F">
        <w:rPr>
          <w:color w:val="000000"/>
          <w:sz w:val="26"/>
          <w:szCs w:val="26"/>
        </w:rPr>
        <w:t>1</w:t>
      </w:r>
      <w:r w:rsidR="008F037C"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</w:t>
      </w:r>
      <w:r w:rsidR="008F037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работника</w:t>
      </w:r>
      <w:r w:rsidR="008F037C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 w:rsidR="008F037C"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Данное уведомление</w:t>
      </w:r>
      <w:r w:rsidR="003E6A06">
        <w:rPr>
          <w:sz w:val="26"/>
          <w:szCs w:val="26"/>
        </w:rPr>
        <w:t xml:space="preserve"> рассмотрено</w:t>
      </w:r>
      <w:r w:rsidR="008F037C">
        <w:rPr>
          <w:sz w:val="26"/>
          <w:szCs w:val="26"/>
        </w:rPr>
        <w:t xml:space="preserve"> в соответствии с п. 28</w:t>
      </w:r>
      <w:r w:rsidR="008F037C" w:rsidRPr="00D3530E">
        <w:rPr>
          <w:sz w:val="26"/>
          <w:szCs w:val="26"/>
        </w:rPr>
        <w:t xml:space="preserve"> Положения о Комиссии</w:t>
      </w:r>
      <w:r w:rsidR="008F037C" w:rsidRPr="00360ABD">
        <w:rPr>
          <w:sz w:val="26"/>
          <w:szCs w:val="26"/>
        </w:rPr>
        <w:t>.</w:t>
      </w:r>
      <w:r w:rsidR="008F037C" w:rsidRPr="009068AF">
        <w:rPr>
          <w:sz w:val="25"/>
          <w:szCs w:val="25"/>
        </w:rPr>
        <w:t xml:space="preserve"> </w:t>
      </w:r>
    </w:p>
    <w:p w:rsidR="001938D4" w:rsidRDefault="001938D4" w:rsidP="001938D4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 уведомление</w:t>
      </w:r>
      <w:r w:rsidRPr="000077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работника в связи с тем, что ее близкий родственник работае</w:t>
      </w:r>
      <w:r>
        <w:rPr>
          <w:color w:val="000000"/>
          <w:sz w:val="26"/>
          <w:szCs w:val="26"/>
        </w:rPr>
        <w:t xml:space="preserve">т в ОСФР по Республике Бурятия. </w:t>
      </w:r>
      <w:r>
        <w:rPr>
          <w:sz w:val="26"/>
          <w:szCs w:val="26"/>
        </w:rPr>
        <w:t>Данное уведомление рассмотрено</w:t>
      </w:r>
      <w:r>
        <w:rPr>
          <w:sz w:val="26"/>
          <w:szCs w:val="26"/>
        </w:rPr>
        <w:t xml:space="preserve"> в соответствии с         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1938D4" w:rsidRDefault="001938D4" w:rsidP="008F037C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8F037C" w:rsidRDefault="007E7F5B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6331F">
        <w:rPr>
          <w:sz w:val="26"/>
          <w:szCs w:val="26"/>
        </w:rPr>
        <w:t>на основании пункта 28</w:t>
      </w:r>
      <w:r w:rsidR="00A6331F" w:rsidRPr="006C0F6A">
        <w:rPr>
          <w:sz w:val="26"/>
          <w:szCs w:val="26"/>
        </w:rPr>
        <w:t xml:space="preserve"> Положения о Комиссии, принято решение</w:t>
      </w:r>
      <w:r w:rsidR="008F037C">
        <w:rPr>
          <w:sz w:val="26"/>
          <w:szCs w:val="26"/>
        </w:rPr>
        <w:t>:</w:t>
      </w:r>
    </w:p>
    <w:p w:rsidR="00A6331F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938D4">
        <w:rPr>
          <w:sz w:val="26"/>
          <w:szCs w:val="26"/>
        </w:rPr>
        <w:t xml:space="preserve"> </w:t>
      </w:r>
      <w:r w:rsidR="00A6331F" w:rsidRPr="006C0F6A">
        <w:rPr>
          <w:sz w:val="26"/>
          <w:szCs w:val="26"/>
        </w:rPr>
        <w:t xml:space="preserve">о </w:t>
      </w:r>
      <w:r w:rsidR="001938D4">
        <w:rPr>
          <w:sz w:val="26"/>
          <w:szCs w:val="26"/>
        </w:rPr>
        <w:t>не</w:t>
      </w:r>
      <w:r w:rsidR="00A6331F" w:rsidRPr="006C0F6A">
        <w:rPr>
          <w:sz w:val="26"/>
          <w:szCs w:val="26"/>
        </w:rPr>
        <w:t xml:space="preserve">соблюдении </w:t>
      </w:r>
      <w:r w:rsidR="00381AD8">
        <w:rPr>
          <w:sz w:val="26"/>
          <w:szCs w:val="26"/>
        </w:rPr>
        <w:t>работнико</w:t>
      </w:r>
      <w:r w:rsidR="00A6331F">
        <w:rPr>
          <w:sz w:val="26"/>
          <w:szCs w:val="26"/>
        </w:rPr>
        <w:t>м</w:t>
      </w:r>
      <w:r w:rsidR="00A6331F"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A6331F" w:rsidRPr="00E73E6C">
        <w:rPr>
          <w:sz w:val="26"/>
          <w:szCs w:val="26"/>
        </w:rPr>
        <w:t xml:space="preserve"> </w:t>
      </w:r>
      <w:r w:rsidR="001938D4">
        <w:rPr>
          <w:sz w:val="26"/>
          <w:szCs w:val="26"/>
        </w:rPr>
        <w:t>Учитывая отсутствие конфликта интересов при исполнении</w:t>
      </w:r>
      <w:r w:rsidR="00175256">
        <w:rPr>
          <w:sz w:val="26"/>
          <w:szCs w:val="26"/>
        </w:rPr>
        <w:t xml:space="preserve"> работником </w:t>
      </w:r>
      <w:r w:rsidR="001938D4">
        <w:rPr>
          <w:sz w:val="26"/>
          <w:szCs w:val="26"/>
        </w:rPr>
        <w:t xml:space="preserve"> должностных обязанностей, нарушение считать малозначительным. </w:t>
      </w:r>
      <w:r w:rsidR="001938D4">
        <w:rPr>
          <w:sz w:val="26"/>
          <w:szCs w:val="26"/>
        </w:rPr>
        <w:t>Комиссия рекомендовала работодателю</w:t>
      </w:r>
      <w:r w:rsidR="001938D4">
        <w:rPr>
          <w:sz w:val="26"/>
          <w:szCs w:val="26"/>
        </w:rPr>
        <w:t xml:space="preserve"> указать работнику на недопустимость нарушения требований об урегулировании конфликта интересов.</w:t>
      </w: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5256"/>
    <w:rsid w:val="00177EA6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2025-07-15T02:28:00Z</dcterms:created>
  <dcterms:modified xsi:type="dcterms:W3CDTF">2025-07-15T02:34:00Z</dcterms:modified>
</cp:coreProperties>
</file>