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75" w:rsidRPr="00117475" w:rsidRDefault="00117475" w:rsidP="0011747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</w:pPr>
      <w:r w:rsidRPr="00117475"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 xml:space="preserve">Пенсионное обеспечение </w:t>
      </w:r>
      <w:proofErr w:type="spellStart"/>
      <w:r w:rsidRPr="00117475"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>cеверян</w:t>
      </w:r>
      <w:proofErr w:type="spellEnd"/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проживающим в районах Крайнего Севера и приравненных к ним местностях, а также гражданам, ранее работавшим в таких районах, независимо от места нынешнего проживания, предоставлено право:</w:t>
      </w:r>
    </w:p>
    <w:p w:rsidR="00117475" w:rsidRPr="00117475" w:rsidRDefault="00117475" w:rsidP="00117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досрочное назначение трудовой пенсии по старости;</w:t>
      </w:r>
    </w:p>
    <w:p w:rsidR="00117475" w:rsidRPr="00117475" w:rsidRDefault="00117475" w:rsidP="00117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увеличение фиксированного базового размера страховой части (далее – ФБР) трудовой пенсии по старости, либо на увеличение ФБР трудовой пенсии по инвалидности, либо на увеличение ФБР трудовой пенсии по случаю потери кормильца.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имеет право на досрочное назначение трудовой пенсии по старости за работу на Крайнем Севере?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право предоставляется:</w:t>
      </w:r>
    </w:p>
    <w:p w:rsidR="00117475" w:rsidRPr="00117475" w:rsidRDefault="00117475" w:rsidP="00117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мужчинам по достижении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женщинам по достижении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не менее 25 и 20 лет соответственно.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работавшим в районах Крайнего Севера и приравненных к ним местностях, трудовая пенсия устанавливается за 15 календарных лет работы на Крайнем Севере. При этом каждый календарный год работы в местностях, приравненных к районам Крайнего Севера, считается за девять месяцев работы в районах Крайнего Севера.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проработавшим в районах Крайнего Севера не менее 7 лет 6 месяцев, трудовая пенсия назначается с уменьшением общеустановленного пенсионного возраста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для мужчин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для женщин) на четыре месяца за каждый полный календарный год работы в этих районах;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Гражданам, проработавшим не менее 15 календарных лет в районах Крайнего Севера или менее 20 календарных лет в приравненных к ним местностях и имеющим необходимый для досрочного назначения трудовой пенсии по старости страховой стаж и стаж на соответствующих видах работ, возраст, установленный для досрочного назначения указанной пенсии, уменьшается на пять лет.</w:t>
      </w:r>
    </w:p>
    <w:p w:rsidR="00117475" w:rsidRPr="00117475" w:rsidRDefault="00117475" w:rsidP="00117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женщинам, родившим двух и более детей, по достижении возраста 50 лет,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местностях;</w:t>
      </w:r>
    </w:p>
    <w:p w:rsidR="00117475" w:rsidRPr="00117475" w:rsidRDefault="00117475" w:rsidP="001174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мужчинам по достижении возраста 50 лет, женщинам по достижении возраста 45 лет, постоянно проживающим в районах Крайнего Севера и приравненных к ним местностях, проработавшим не менее 25 и 20 лет соответственно в качестве оленеводов, рыбаков, охотников-промысловиков.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увеличивается фиксированный базовый размер трудовой пенсии «северян»?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ФБР трудовой пенсии по старости, ФБР трудовой пенсии по инвалидности и ФБР трудовой пенсии по случаю потери кормильца «северян» увеличивается на соответствующий районный коэффициент, который устанавливает Правительство Российской Федерации в зависимости от района (местности) проживания, на весь период проживания в этих районах (местностях) проживания.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пенсионер переезжает из района Крайнего Севера в местности с обычными климатическими условиями, ФБР трудовой пенсии по старости, ФБР трудовой пенсии по инвалидности и ФБР трудовой пенсии по случаю потери кормильца подлежат пересмотру 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определяется без применения районного коэффициента.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пенсионер приезжает из района Крайнего Севера в другой северный регион, где к заработной плате установлен больший либо меньший районный коэффициент, ФБР трудовой пенсии по старости, трудовой песни по инвалидности и по случаю потери кормильца подлежит изменению либо в сторону увеличения, либо в сторону уменьшения в зависимости от района нового места проживания.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Гражданам, проработавшим не менее 15 календарных лет в районах Крайнего Севера либо не менее 20 календарных лет в местностях, приравненных к ним, и имеющим страховой стаж не менее 25 лет у мужчин и не менее 20 лет у женщин, ФБР страховой части трудовой пенсии по старости и трудовой пенсии по инвалидности устанавливается в повышенном размере независимо от места жительства.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этом им предоставлено право выбора: увеличение ФБР страховой части трудовой пенсии по старости и ФБР трудовой пенсии по инвалидности с применением соответствующего районного коэффициента либо установление повышенного фиксированного базового размера трудовой пенсии.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при назначении пенсии учитывается «северный» стаж?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права на досрочную трудовую пенсию по старости «северный» стаж рассчитывается в календарном прядке, то есть без применения льготного исчисления. Такой же порядок исчисления «северного» стажа применялся в соответствии с ранее действовавшим законодательством, включая пенсионное законодательство СССР.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осуществления оценки пенсионных прав по состоянию на 01.01.2002 с применением пункта 3 статьи 30 Федерального закона от 17.12.2001 № 173-ФЗ периоды работы на Крайнем Севере включается в общий трудовой стаж в календарном порядке.</w:t>
      </w:r>
    </w:p>
    <w:p w:rsidR="006C76AE" w:rsidRDefault="00117475" w:rsidP="00117475">
      <w:p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оценка пенсионных прав по состоянию на 01.01.2002 по выбору застрахованного лица осуществляется с применением пункта 4 статьи 30 Федерального закона от 17.12.2001 № 173-ФЗ, то периоды работы </w:t>
      </w:r>
      <w:proofErr w:type="spellStart"/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hyperlink r:id="rId6" w:history="1">
        <w:r w:rsidRPr="001174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6" w:space="18" w:color="CBE0FF" w:frame="1"/>
            <w:lang w:eastAsia="ru-RU"/>
          </w:rPr>
          <w:t>районах</w:t>
        </w:r>
      </w:hyperlink>
      <w:proofErr w:type="spellEnd"/>
    </w:p>
    <w:p w:rsidR="006C76AE" w:rsidRPr="00117475" w:rsidRDefault="00117475" w:rsidP="006C76AE">
      <w:p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 Севера и местностях, приравненных к районам Крайнего Севера, включаются в общий трудовой стаж в полуторном размере. При этом к расчетному размеру трудовой пенсии применяются ограничения, предусмотренные данным пунктом.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оценка пенсионных прав осуществляется с учетом положений гражданина по наиболее выгодному для него варианту.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Районные коэффициенты к заработной плате работников непроизводственных </w:t>
      </w:r>
      <w:r w:rsidR="006C76AE" w:rsidRPr="00117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отраслей в районах Крайнего Севера и приравненных к ним местностях, применяемые при осуществлении оценки пенсионных прав</w:t>
      </w:r>
    </w:p>
    <w:p w:rsidR="006C76AE" w:rsidRPr="00117475" w:rsidRDefault="006C76AE" w:rsidP="00117475">
      <w:pPr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" w:tblpY="-1132"/>
        <w:tblW w:w="11202" w:type="dxa"/>
        <w:tblBorders>
          <w:top w:val="outset" w:sz="6" w:space="0" w:color="18438C"/>
          <w:left w:val="outset" w:sz="6" w:space="0" w:color="18438C"/>
          <w:bottom w:val="outset" w:sz="6" w:space="0" w:color="18438C"/>
          <w:right w:val="outset" w:sz="6" w:space="0" w:color="18438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"/>
        <w:gridCol w:w="8744"/>
        <w:gridCol w:w="2073"/>
      </w:tblGrid>
      <w:tr w:rsidR="003E65ED" w:rsidRPr="00117475" w:rsidTr="003E65ED">
        <w:trPr>
          <w:trHeight w:val="1783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single" w:sz="12" w:space="0" w:color="18438C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18438C"/>
              <w:right w:val="outset" w:sz="6" w:space="0" w:color="auto"/>
            </w:tcBorders>
            <w:vAlign w:val="center"/>
            <w:hideMark/>
          </w:tcPr>
          <w:p w:rsidR="003E65ED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Районы Крайнего Севера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  <w:t>и приравненные к ним местности</w:t>
            </w:r>
          </w:p>
          <w:p w:rsidR="003E65ED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  <w:p w:rsidR="003E65ED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18438C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Районный коэффициент</w:t>
            </w:r>
          </w:p>
        </w:tc>
      </w:tr>
      <w:tr w:rsidR="003E65ED" w:rsidRPr="00117475" w:rsidTr="003E65ED">
        <w:trPr>
          <w:trHeight w:val="6025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Острова Северного Ледовитого океана и его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морей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кроме островов Белого моря и острова Диксон)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еспублика Саха (Якутия):</w:t>
            </w:r>
          </w:p>
          <w:p w:rsidR="003E65ED" w:rsidRPr="00117475" w:rsidRDefault="003E65ED" w:rsidP="003E65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Местности, где расположены предприятия и стройки алмазодобывающей промышленности, на месторождениях "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Айхал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" и "Удачная", прииски "Депутатский" и "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Кулар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"</w:t>
            </w:r>
          </w:p>
          <w:p w:rsidR="003E65ED" w:rsidRPr="00117475" w:rsidRDefault="003E65ED" w:rsidP="003E65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Нижнеколымский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Усть-Куйга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-Янского района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  <w:t>Сахалинская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Северо-Курильский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Курильский район</w:t>
            </w:r>
          </w:p>
          <w:p w:rsidR="003E65ED" w:rsidRPr="00117475" w:rsidRDefault="003E65ED" w:rsidP="003E65E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Южно-Курильский район (Курильские острова)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  <w:t>Камчатский край:</w:t>
            </w:r>
          </w:p>
          <w:p w:rsidR="003E65ED" w:rsidRPr="00117475" w:rsidRDefault="003E65ED" w:rsidP="003E65E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Алеутский район (Командорские острова)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  <w:t xml:space="preserve">Чукотский автономный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округ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территория автономного округа)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2,0</w:t>
            </w:r>
          </w:p>
        </w:tc>
      </w:tr>
      <w:tr w:rsidR="003E65ED" w:rsidRPr="00117475" w:rsidTr="003E65ED">
        <w:trPr>
          <w:trHeight w:val="1818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Красноярский край:</w:t>
            </w:r>
          </w:p>
          <w:p w:rsidR="003E65ED" w:rsidRPr="00117475" w:rsidRDefault="003E65ED" w:rsidP="003E65E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Норильск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Мурманская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Мурманск - 140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1,8</w:t>
            </w:r>
          </w:p>
        </w:tc>
      </w:tr>
      <w:tr w:rsidR="003E65ED" w:rsidRPr="00117475" w:rsidTr="003E65ED">
        <w:trPr>
          <w:trHeight w:val="2475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Саха (Якутия):</w:t>
            </w:r>
          </w:p>
          <w:p w:rsidR="003E65ED" w:rsidRPr="00117475" w:rsidRDefault="003E65ED" w:rsidP="003E65E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Ленский район (севернее 61° северной широты)</w:t>
            </w:r>
          </w:p>
          <w:p w:rsidR="003E65ED" w:rsidRPr="00117475" w:rsidRDefault="003E65ED" w:rsidP="003E65E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Мирный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Магаданская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область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территория области)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  <w:t>Мурманская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Туманный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1,7</w:t>
            </w:r>
          </w:p>
        </w:tc>
      </w:tr>
      <w:tr w:rsidR="003E65ED" w:rsidRPr="00117475" w:rsidTr="003E65ED">
        <w:trPr>
          <w:trHeight w:val="2887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Коми:</w:t>
            </w:r>
          </w:p>
          <w:p w:rsidR="003E65ED" w:rsidRPr="00117475" w:rsidRDefault="003E65ED" w:rsidP="003E65E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Воркута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Саха (Якутия):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Абыйский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Аллаиховский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Анабарский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Булунский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Верхневилюйский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Верхнеколымский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Верхоянский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Вилюйский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Кобяйский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 (ранее Ленинский)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Мирнинский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Оймяконский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Оленекский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Среднеколымский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Сунтарский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Томпонский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-Янский район (за исключением поселка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Усть-Куйга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3E65ED" w:rsidRPr="00117475" w:rsidRDefault="003E65ED" w:rsidP="003E65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Эвено-Бытантайский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Красноярский край:</w:t>
            </w:r>
          </w:p>
          <w:p w:rsidR="003E65ED" w:rsidRPr="00117475" w:rsidRDefault="003E65ED" w:rsidP="003E65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Таймырский (Долгано-Ненецкий) автономный округ (вся территория автономного округа)</w:t>
            </w:r>
          </w:p>
          <w:p w:rsidR="003E65ED" w:rsidRPr="00117475" w:rsidRDefault="003E65ED" w:rsidP="003E65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Эвенкийский автономный округ (севернее реки Нижняя Тунгуска)</w:t>
            </w:r>
          </w:p>
          <w:p w:rsidR="003E65ED" w:rsidRPr="00117475" w:rsidRDefault="003E65ED" w:rsidP="003E65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Туруханский район (севернее рек Нижняя Тунгуска и Турухан)</w:t>
            </w:r>
          </w:p>
          <w:p w:rsidR="003E65ED" w:rsidRPr="00117475" w:rsidRDefault="003E65ED" w:rsidP="003E65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Местности, расположенные севернее Полярного круга (за исключением г. Норильска и подчиненных его администрации населенных пунктов)</w:t>
            </w:r>
          </w:p>
          <w:p w:rsidR="003E65ED" w:rsidRPr="00117475" w:rsidRDefault="003E65ED" w:rsidP="003E65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Игарка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Хабаровский край:</w:t>
            </w:r>
          </w:p>
          <w:p w:rsidR="003E65ED" w:rsidRPr="00117475" w:rsidRDefault="003E65ED" w:rsidP="003E65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Охотский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br/>
              <w:t xml:space="preserve">Камчатский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край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территория края за исключением Алеутского района (Командорских островов)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Сахалинская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Ногликский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Охинский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Оха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1,6</w:t>
            </w:r>
          </w:p>
        </w:tc>
      </w:tr>
      <w:tr w:rsidR="003E65ED" w:rsidRPr="00117475" w:rsidTr="003E65ED">
        <w:trPr>
          <w:trHeight w:val="116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Коми:</w:t>
            </w:r>
          </w:p>
          <w:p w:rsidR="003E65ED" w:rsidRPr="00117475" w:rsidRDefault="003E65ED" w:rsidP="003E65E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Инта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Саха (Якутия):</w:t>
            </w:r>
          </w:p>
          <w:p w:rsidR="003E65ED" w:rsidRPr="00117475" w:rsidRDefault="003E65ED" w:rsidP="003E65E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пгт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Кангалассы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Тыва:</w:t>
            </w:r>
          </w:p>
          <w:p w:rsidR="003E65ED" w:rsidRPr="00117475" w:rsidRDefault="003E65ED" w:rsidP="003E65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Тоджинский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 (территория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Шынаанской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сельской администрации)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Ненецкий автономный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округ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территория автономного округа)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Тюменская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Уватский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Ханты-Мансийский автономный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округ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севернее 60° северной широты)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Ямало-Ненецкий автономный округ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(вся территория автономного округа)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Томская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Александровский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Каргасокский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Колпашевский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Парабельский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Чаинский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Кедровый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Колпашево</w:t>
            </w:r>
          </w:p>
          <w:p w:rsidR="003E65ED" w:rsidRPr="00117475" w:rsidRDefault="003E65ED" w:rsidP="003E65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Стрежевой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1,5</w:t>
            </w:r>
          </w:p>
        </w:tc>
      </w:tr>
      <w:tr w:rsidR="003E65ED" w:rsidRPr="00117475" w:rsidTr="003E65ED">
        <w:trPr>
          <w:trHeight w:val="1800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Алтай:</w:t>
            </w:r>
          </w:p>
          <w:p w:rsidR="003E65ED" w:rsidRPr="00117475" w:rsidRDefault="003E65ED" w:rsidP="003E65E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Кош-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Агачский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Улаганский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Карелия: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Беломорский район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Калевальский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Кемский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Лоухский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Кемь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Костомукша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Саха (Якутия) 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(вся территория Республики за исключением городов и районов, указанных в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1, 3, 4,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Республика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Тыва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(вся территория Республики за исключением районов, указанных в п. 5)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Приморский край:</w:t>
            </w:r>
          </w:p>
          <w:p w:rsidR="003E65ED" w:rsidRPr="00117475" w:rsidRDefault="003E65ED" w:rsidP="003E65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Кавалеровский район (пос. рудников Таежный и Тернистый)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Хабаровский край: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Аяно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-Майский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 (севернее 51° северной широты)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Район им. П. Осипенко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Николаевский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Советско-Гаванский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Солнечный район (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Амгуньская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Дукинская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сельские администрации)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Ульчский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Николаевск-на-Амуре</w:t>
            </w:r>
          </w:p>
          <w:p w:rsidR="003E65ED" w:rsidRPr="00117475" w:rsidRDefault="003E65ED" w:rsidP="003E65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Советская Гавань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Архангельская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Лешуконский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Мезенский район</w:t>
            </w:r>
          </w:p>
          <w:p w:rsidR="003E65ED" w:rsidRPr="00117475" w:rsidRDefault="003E65ED" w:rsidP="003E65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Соловецкий район (Соловецкие острова)</w:t>
            </w:r>
          </w:p>
          <w:p w:rsidR="003E65ED" w:rsidRPr="00117475" w:rsidRDefault="003E65ED" w:rsidP="003E65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Северодвинск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Мурманская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область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вся территория области за исключением городов и районов, указанных в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1, 2, 3)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Сахалинская область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 xml:space="preserve">(вся территория области за исключением городов и районов, указанных в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1, 4)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1,4</w:t>
            </w:r>
          </w:p>
        </w:tc>
      </w:tr>
    </w:tbl>
    <w:p w:rsidR="006C76AE" w:rsidRDefault="003E65ED">
      <w:bookmarkStart w:id="0" w:name="_GoBack"/>
      <w:bookmarkEnd w:id="0"/>
      <w:r>
        <w:lastRenderedPageBreak/>
        <w:br w:type="page"/>
      </w:r>
      <w:r w:rsidR="006C76AE">
        <w:lastRenderedPageBreak/>
        <w:br w:type="page"/>
      </w:r>
    </w:p>
    <w:p w:rsidR="003E65ED" w:rsidRDefault="003E65ED"/>
    <w:tbl>
      <w:tblPr>
        <w:tblpPr w:leftFromText="180" w:rightFromText="180" w:vertAnchor="text" w:horzAnchor="page" w:tblpX="1" w:tblpY="-1132"/>
        <w:tblW w:w="11202" w:type="dxa"/>
        <w:tblBorders>
          <w:top w:val="outset" w:sz="6" w:space="0" w:color="18438C"/>
          <w:left w:val="outset" w:sz="6" w:space="0" w:color="18438C"/>
          <w:bottom w:val="outset" w:sz="6" w:space="0" w:color="18438C"/>
          <w:right w:val="outset" w:sz="6" w:space="0" w:color="18438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"/>
        <w:gridCol w:w="10247"/>
        <w:gridCol w:w="570"/>
      </w:tblGrid>
      <w:tr w:rsidR="003E65ED" w:rsidRPr="00117475" w:rsidTr="003E65ED">
        <w:trPr>
          <w:cantSplit/>
          <w:trHeight w:val="1125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Бурятия:</w:t>
            </w:r>
          </w:p>
          <w:p w:rsidR="003E65ED" w:rsidRPr="00117475" w:rsidRDefault="003E65ED" w:rsidP="003E65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Баунтовский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Муйский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Северо-Байкальский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Северобайкальск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Карелия:</w:t>
            </w:r>
          </w:p>
          <w:p w:rsidR="003E65ED" w:rsidRPr="00117475" w:rsidRDefault="003E65ED" w:rsidP="003E65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Медвежьегорский район</w:t>
            </w:r>
          </w:p>
          <w:p w:rsidR="003E65ED" w:rsidRPr="00117475" w:rsidRDefault="003E65ED" w:rsidP="003E65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Муезерский район</w:t>
            </w:r>
          </w:p>
          <w:p w:rsidR="003E65ED" w:rsidRPr="00117475" w:rsidRDefault="003E65ED" w:rsidP="003E65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Пудожский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Сегежский район</w:t>
            </w:r>
          </w:p>
          <w:p w:rsidR="003E65ED" w:rsidRPr="00117475" w:rsidRDefault="003E65ED" w:rsidP="003E65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Сегежа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Коми: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Ижемский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Печорский район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Троицко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-Печорский район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Усть-Цилемский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Удорский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Вуктыл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Сосногорск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Ухта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Усинск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Печора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Красноярский край: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Эвенкийский автономный округ (южнее реки Нижняя Тунгуска)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Богучанский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Енисейский район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Кежемский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Мотыгинский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Северо-Енисейский район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Туруханский район (южнее рек Нижняя Тунгуска и Турухан)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Енисейск</w:t>
            </w:r>
          </w:p>
          <w:p w:rsidR="003E65ED" w:rsidRPr="00117475" w:rsidRDefault="003E65ED" w:rsidP="003E65E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Лесосибирск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Амурская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Зейский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Селемджинский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Тындинский район (за исключением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Муртыгитского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сельсовета)</w:t>
            </w:r>
          </w:p>
          <w:p w:rsidR="003E65ED" w:rsidRPr="00117475" w:rsidRDefault="003E65ED" w:rsidP="003E65E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Зея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Тында и подчиненные его администрации населенные пункты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Иркутская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Бодайбинский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Братский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-Ленский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Катангский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Киренский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Мамско-Чуйский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Нижнеилимский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Усть-Илимский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Усть-Кутский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Братск и подчиненные его администрации населенные пункты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Бодайбо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Усть-Илимск</w:t>
            </w:r>
          </w:p>
          <w:p w:rsidR="003E65ED" w:rsidRPr="00117475" w:rsidRDefault="003E65ED" w:rsidP="003E65E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Усть-Кут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Забайкальский край:</w:t>
            </w:r>
          </w:p>
          <w:p w:rsidR="003E65ED" w:rsidRPr="00117475" w:rsidRDefault="003E65ED" w:rsidP="003E65E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Каларский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Тунгиро-Олекминский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Тунгокоченский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Ханты-Мансийский автономный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округ: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южнее 60° северной широты)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Томская область:</w:t>
            </w:r>
          </w:p>
          <w:p w:rsidR="003E65ED" w:rsidRPr="00117475" w:rsidRDefault="003E65ED" w:rsidP="003E65E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Бакчарский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Кривошеинский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Молчановский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Тегульдетский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1,3</w:t>
            </w:r>
          </w:p>
        </w:tc>
      </w:tr>
      <w:tr w:rsidR="003E65ED" w:rsidRPr="00117475" w:rsidTr="003E65ED">
        <w:trPr>
          <w:trHeight w:val="6043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Республика Бурятия:</w:t>
            </w:r>
          </w:p>
          <w:p w:rsidR="003E65ED" w:rsidRPr="00117475" w:rsidRDefault="003E65ED" w:rsidP="003E65E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Курумканский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Республика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Коми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вся территория Республики за исключением городов и районов, указанных в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4, 5, 7)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Приморский край:</w:t>
            </w:r>
          </w:p>
          <w:p w:rsidR="003E65ED" w:rsidRPr="00117475" w:rsidRDefault="003E65ED" w:rsidP="003E65E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Кавалеровский район (за исключением пос. рудников Таежный и Тернистый)</w:t>
            </w:r>
          </w:p>
          <w:p w:rsidR="003E65ED" w:rsidRPr="00117475" w:rsidRDefault="003E65ED" w:rsidP="003E65E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Красноармейский район (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пгт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Восток и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Богуславецкая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Вострецовская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Дальнекутская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Измайлихинская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Мельничная,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Таежненская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сельские администрации)</w:t>
            </w:r>
          </w:p>
          <w:p w:rsidR="003E65ED" w:rsidRPr="00117475" w:rsidRDefault="003E65ED" w:rsidP="003E65E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Ольгинский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Тернейский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г. Дальнегорск и населенные пункты, находившиеся в подчинении его администрации ранее (ранее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Дальнегорский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район)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Хабаровский край: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Амурский район (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пгт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Эльбан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подчиненные его администрации населенные пункты,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Ачанская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Вознесенская,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Джуенская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Омминская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Падалинская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сельские администрации)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 (южнее 51° северной широты)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Комсомольский район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Солнечный район (за исключением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Амгуньской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Дукинской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сельских администраций)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г. Амурск</w:t>
            </w:r>
          </w:p>
          <w:p w:rsidR="003E65ED" w:rsidRPr="00117475" w:rsidRDefault="003E65ED" w:rsidP="003E65E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г. Комсомольск-на-Амуре</w:t>
            </w:r>
          </w:p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Архангельская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область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территория области за исключением местности, указанной в п. 6)</w:t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Пермский край:</w:t>
            </w:r>
          </w:p>
          <w:p w:rsidR="003E65ED" w:rsidRPr="00117475" w:rsidRDefault="003E65ED" w:rsidP="003E65E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Гайнский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Косинский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</w:t>
            </w:r>
          </w:p>
          <w:p w:rsidR="003E65ED" w:rsidRPr="00117475" w:rsidRDefault="003E65ED" w:rsidP="003E65E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Кочевский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район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1,2</w:t>
            </w:r>
          </w:p>
        </w:tc>
      </w:tr>
      <w:tr w:rsidR="003E65ED" w:rsidRPr="00117475" w:rsidTr="003E65ED">
        <w:trPr>
          <w:trHeight w:val="675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Республика </w:t>
            </w:r>
            <w:proofErr w:type="gramStart"/>
            <w:r w:rsidRPr="0011747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Карелия 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вся территория Республики за исключением городов и районов, указанных в </w:t>
            </w:r>
            <w:proofErr w:type="spellStart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  <w:r w:rsidRPr="001174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6,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ED" w:rsidRPr="00117475" w:rsidRDefault="003E65ED" w:rsidP="003E65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1747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1,15</w:t>
            </w:r>
          </w:p>
        </w:tc>
      </w:tr>
    </w:tbl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1747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Компенсация проезда к месту отдыха и обратно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Пенсионеры, являющиеся получателями трудовых пенсий по старости и по инвалидности и проживающие в районах Крайнего Севера и приравненных к ним местностях, имеют право на компенсацию расходов на оплату стоимости проезда к месту отдыха на территории Российской Федерации и обратно. Оплата стоимости проезда к месту отдыха за пределами РФ, в том числе до границы РФ, не производится.</w:t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компенсацией пенсионер может один раз в два года обратиться в Пенсионный фонд Российской Федерации по месту жительства.</w:t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может производиться в виде:</w:t>
      </w:r>
    </w:p>
    <w:p w:rsidR="00117475" w:rsidRPr="00117475" w:rsidRDefault="00117475" w:rsidP="001174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проездных документов, обеспечивающих проезд пенсионеров к месту отдыха и обратно;</w:t>
      </w:r>
    </w:p>
    <w:p w:rsidR="00117475" w:rsidRPr="00117475" w:rsidRDefault="00117475" w:rsidP="001174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фактически произведённых пенсионером расходов на оплату стоимости проезда к месту отдыха и обратно.</w:t>
      </w:r>
    </w:p>
    <w:p w:rsidR="00117475" w:rsidRPr="00117475" w:rsidRDefault="00117475" w:rsidP="001174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фактически произведённых пенсионером расходов на оплату стоимости поезда к месту отдыха и обратно производится в пределах стоимости проезда:</w:t>
      </w:r>
    </w:p>
    <w:p w:rsidR="00117475" w:rsidRPr="00117475" w:rsidRDefault="00117475" w:rsidP="001174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железнодорожным транспортом – в плацкартном вагоне пассажирского поезда;</w:t>
      </w:r>
    </w:p>
    <w:p w:rsidR="00117475" w:rsidRPr="00117475" w:rsidRDefault="00117475" w:rsidP="001174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воздушным транспортом – в салоне экономического класса;</w:t>
      </w:r>
    </w:p>
    <w:p w:rsidR="00117475" w:rsidRPr="00117475" w:rsidRDefault="00117475" w:rsidP="001174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 водным транспортом – в каюте третьей категории речного судна всех линий сообщений;</w:t>
      </w:r>
    </w:p>
    <w:p w:rsidR="00117475" w:rsidRPr="00117475" w:rsidRDefault="00117475" w:rsidP="001174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морским транспортом – в каюте 4-5 групп морского суда регулярных транспортных линий;</w:t>
      </w:r>
    </w:p>
    <w:p w:rsidR="00117475" w:rsidRPr="00117475" w:rsidRDefault="00117475" w:rsidP="0011747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транспортом – в автобусе общего типа, а при отсутствии – в автобусах с мягкими откидными сиденьями.</w:t>
      </w:r>
    </w:p>
    <w:p w:rsidR="009B3E70" w:rsidRPr="00117475" w:rsidRDefault="009B3E70" w:rsidP="00117475"/>
    <w:sectPr w:rsidR="009B3E70" w:rsidRPr="001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E65"/>
    <w:multiLevelType w:val="multilevel"/>
    <w:tmpl w:val="AD4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1362A"/>
    <w:multiLevelType w:val="multilevel"/>
    <w:tmpl w:val="329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249B6"/>
    <w:multiLevelType w:val="multilevel"/>
    <w:tmpl w:val="3E0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5C08C4"/>
    <w:multiLevelType w:val="multilevel"/>
    <w:tmpl w:val="E0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C1B63"/>
    <w:multiLevelType w:val="multilevel"/>
    <w:tmpl w:val="BB8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117F3"/>
    <w:multiLevelType w:val="multilevel"/>
    <w:tmpl w:val="16A8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7129FD"/>
    <w:multiLevelType w:val="multilevel"/>
    <w:tmpl w:val="139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F7901"/>
    <w:multiLevelType w:val="multilevel"/>
    <w:tmpl w:val="F96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DE75C8"/>
    <w:multiLevelType w:val="multilevel"/>
    <w:tmpl w:val="7F8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3A2D84"/>
    <w:multiLevelType w:val="multilevel"/>
    <w:tmpl w:val="D0B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05E66"/>
    <w:multiLevelType w:val="multilevel"/>
    <w:tmpl w:val="55A2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817B5"/>
    <w:multiLevelType w:val="multilevel"/>
    <w:tmpl w:val="627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C166E"/>
    <w:multiLevelType w:val="multilevel"/>
    <w:tmpl w:val="73B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A5CB9"/>
    <w:multiLevelType w:val="multilevel"/>
    <w:tmpl w:val="E9D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380203"/>
    <w:multiLevelType w:val="multilevel"/>
    <w:tmpl w:val="CC5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E490C"/>
    <w:multiLevelType w:val="multilevel"/>
    <w:tmpl w:val="0C0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45A6A"/>
    <w:multiLevelType w:val="multilevel"/>
    <w:tmpl w:val="C43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A72AFB"/>
    <w:multiLevelType w:val="multilevel"/>
    <w:tmpl w:val="1C3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215C0"/>
    <w:multiLevelType w:val="multilevel"/>
    <w:tmpl w:val="28A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31002"/>
    <w:multiLevelType w:val="multilevel"/>
    <w:tmpl w:val="BA5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C30F2A"/>
    <w:multiLevelType w:val="multilevel"/>
    <w:tmpl w:val="BD40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1F586C"/>
    <w:multiLevelType w:val="multilevel"/>
    <w:tmpl w:val="F4D8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AD4E2F"/>
    <w:multiLevelType w:val="multilevel"/>
    <w:tmpl w:val="3AB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C40746"/>
    <w:multiLevelType w:val="multilevel"/>
    <w:tmpl w:val="4B6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896362"/>
    <w:multiLevelType w:val="multilevel"/>
    <w:tmpl w:val="EA9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F80B10"/>
    <w:multiLevelType w:val="multilevel"/>
    <w:tmpl w:val="37C0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97CDC"/>
    <w:multiLevelType w:val="multilevel"/>
    <w:tmpl w:val="BA9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4C3156"/>
    <w:multiLevelType w:val="multilevel"/>
    <w:tmpl w:val="D3B2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C001B5"/>
    <w:multiLevelType w:val="multilevel"/>
    <w:tmpl w:val="6B8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37335"/>
    <w:multiLevelType w:val="multilevel"/>
    <w:tmpl w:val="294C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3763D"/>
    <w:multiLevelType w:val="multilevel"/>
    <w:tmpl w:val="BA3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EE0D9F"/>
    <w:multiLevelType w:val="multilevel"/>
    <w:tmpl w:val="917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8F4A5D"/>
    <w:multiLevelType w:val="multilevel"/>
    <w:tmpl w:val="478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B96CD8"/>
    <w:multiLevelType w:val="multilevel"/>
    <w:tmpl w:val="D6A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554B7C"/>
    <w:multiLevelType w:val="multilevel"/>
    <w:tmpl w:val="162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0C765B"/>
    <w:multiLevelType w:val="multilevel"/>
    <w:tmpl w:val="A65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924A37"/>
    <w:multiLevelType w:val="multilevel"/>
    <w:tmpl w:val="A46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BC2891"/>
    <w:multiLevelType w:val="multilevel"/>
    <w:tmpl w:val="FBC6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1C1089"/>
    <w:multiLevelType w:val="multilevel"/>
    <w:tmpl w:val="33A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A49F1"/>
    <w:multiLevelType w:val="multilevel"/>
    <w:tmpl w:val="B5D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1"/>
  </w:num>
  <w:num w:numId="3">
    <w:abstractNumId w:val="36"/>
  </w:num>
  <w:num w:numId="4">
    <w:abstractNumId w:val="30"/>
  </w:num>
  <w:num w:numId="5">
    <w:abstractNumId w:val="34"/>
  </w:num>
  <w:num w:numId="6">
    <w:abstractNumId w:val="4"/>
  </w:num>
  <w:num w:numId="7">
    <w:abstractNumId w:val="13"/>
  </w:num>
  <w:num w:numId="8">
    <w:abstractNumId w:val="39"/>
  </w:num>
  <w:num w:numId="9">
    <w:abstractNumId w:val="32"/>
  </w:num>
  <w:num w:numId="10">
    <w:abstractNumId w:val="37"/>
  </w:num>
  <w:num w:numId="11">
    <w:abstractNumId w:val="6"/>
  </w:num>
  <w:num w:numId="12">
    <w:abstractNumId w:val="18"/>
  </w:num>
  <w:num w:numId="13">
    <w:abstractNumId w:val="11"/>
  </w:num>
  <w:num w:numId="14">
    <w:abstractNumId w:val="23"/>
  </w:num>
  <w:num w:numId="15">
    <w:abstractNumId w:val="9"/>
  </w:num>
  <w:num w:numId="16">
    <w:abstractNumId w:val="10"/>
  </w:num>
  <w:num w:numId="17">
    <w:abstractNumId w:val="1"/>
  </w:num>
  <w:num w:numId="18">
    <w:abstractNumId w:val="7"/>
  </w:num>
  <w:num w:numId="19">
    <w:abstractNumId w:val="15"/>
  </w:num>
  <w:num w:numId="20">
    <w:abstractNumId w:val="33"/>
  </w:num>
  <w:num w:numId="21">
    <w:abstractNumId w:val="12"/>
  </w:num>
  <w:num w:numId="22">
    <w:abstractNumId w:val="21"/>
  </w:num>
  <w:num w:numId="23">
    <w:abstractNumId w:val="29"/>
  </w:num>
  <w:num w:numId="24">
    <w:abstractNumId w:val="3"/>
  </w:num>
  <w:num w:numId="25">
    <w:abstractNumId w:val="8"/>
  </w:num>
  <w:num w:numId="26">
    <w:abstractNumId w:val="38"/>
  </w:num>
  <w:num w:numId="27">
    <w:abstractNumId w:val="17"/>
  </w:num>
  <w:num w:numId="28">
    <w:abstractNumId w:val="0"/>
  </w:num>
  <w:num w:numId="29">
    <w:abstractNumId w:val="25"/>
  </w:num>
  <w:num w:numId="30">
    <w:abstractNumId w:val="24"/>
  </w:num>
  <w:num w:numId="31">
    <w:abstractNumId w:val="27"/>
  </w:num>
  <w:num w:numId="32">
    <w:abstractNumId w:val="2"/>
  </w:num>
  <w:num w:numId="33">
    <w:abstractNumId w:val="19"/>
  </w:num>
  <w:num w:numId="34">
    <w:abstractNumId w:val="14"/>
  </w:num>
  <w:num w:numId="35">
    <w:abstractNumId w:val="35"/>
  </w:num>
  <w:num w:numId="36">
    <w:abstractNumId w:val="26"/>
  </w:num>
  <w:num w:numId="37">
    <w:abstractNumId w:val="16"/>
  </w:num>
  <w:num w:numId="38">
    <w:abstractNumId w:val="22"/>
  </w:num>
  <w:num w:numId="39">
    <w:abstractNumId w:val="2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5"/>
    <w:rsid w:val="00117475"/>
    <w:rsid w:val="003E65ED"/>
    <w:rsid w:val="006C76AE"/>
    <w:rsid w:val="009B3E70"/>
    <w:rsid w:val="00A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3B84-9B9E-4F0C-A0BD-84508069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475"/>
    <w:rPr>
      <w:b/>
      <w:bCs/>
    </w:rPr>
  </w:style>
  <w:style w:type="character" w:styleId="a5">
    <w:name w:val="Hyperlink"/>
    <w:basedOn w:val="a0"/>
    <w:uiPriority w:val="99"/>
    <w:semiHidden/>
    <w:unhideWhenUsed/>
    <w:rsid w:val="00117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70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8834.1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55F6-3DC9-4C02-AA36-2FF2A62B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Зимнухова Ольга Борисовна</dc:creator>
  <cp:keywords/>
  <dc:description/>
  <cp:lastModifiedBy>Зимнухова Ольга Борисовна</cp:lastModifiedBy>
  <cp:revision>1</cp:revision>
  <dcterms:created xsi:type="dcterms:W3CDTF">2026-06-15T22:25:00Z</dcterms:created>
  <dcterms:modified xsi:type="dcterms:W3CDTF">2026-06-15T23:12:00Z</dcterms:modified>
</cp:coreProperties>
</file>