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24" w:rsidRDefault="00E44D09" w:rsidP="00B0647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</w:t>
      </w:r>
      <w:r w:rsidR="00F904E8" w:rsidRPr="00B0647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собенности расчета средств пенсионных накоплений, подлежащих передаче по заявлениям о досрочном переходе, если их подать в этом году.</w:t>
      </w:r>
    </w:p>
    <w:p w:rsidR="00E16252" w:rsidRPr="00B06477" w:rsidRDefault="00E16252" w:rsidP="00B0647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000"/>
      </w:tblPr>
      <w:tblGrid>
        <w:gridCol w:w="2629"/>
        <w:gridCol w:w="2175"/>
        <w:gridCol w:w="5970"/>
      </w:tblGrid>
      <w:tr w:rsidR="00E83C24" w:rsidTr="00B06477">
        <w:trPr>
          <w:trHeight w:val="1399"/>
        </w:trPr>
        <w:tc>
          <w:tcPr>
            <w:tcW w:w="2629" w:type="dxa"/>
            <w:tcBorders>
              <w:bottom w:val="single" w:sz="18" w:space="0" w:color="00B050"/>
              <w:right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</w:rPr>
            </w:pPr>
            <w:r w:rsidRPr="00B06477">
              <w:rPr>
                <w:rFonts w:ascii="Times New Roman" w:hAnsi="Times New Roman" w:cs="Times New Roman"/>
                <w:b/>
              </w:rPr>
              <w:t>Год начала формирования пенсионных накоплений у вашего текущего страховщика (ПФР / НПФ)</w:t>
            </w:r>
          </w:p>
        </w:tc>
        <w:tc>
          <w:tcPr>
            <w:tcW w:w="2175" w:type="dxa"/>
            <w:tcBorders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7">
              <w:rPr>
                <w:rFonts w:ascii="Times New Roman" w:hAnsi="Times New Roman" w:cs="Times New Roman"/>
                <w:b/>
              </w:rPr>
              <w:t>Сроки первой пятилетней фиксации средств пенсионных накоплений</w:t>
            </w:r>
          </w:p>
        </w:tc>
        <w:tc>
          <w:tcPr>
            <w:tcW w:w="5970" w:type="dxa"/>
            <w:tcBorders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477">
              <w:rPr>
                <w:rFonts w:ascii="Times New Roman" w:hAnsi="Times New Roman" w:cs="Times New Roman"/>
                <w:b/>
              </w:rPr>
              <w:t>Порядок расчета</w:t>
            </w:r>
          </w:p>
        </w:tc>
      </w:tr>
      <w:tr w:rsidR="00E83C24" w:rsidTr="00B06477">
        <w:trPr>
          <w:trHeight w:val="3151"/>
        </w:trPr>
        <w:tc>
          <w:tcPr>
            <w:tcW w:w="2629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83C24" w:rsidRPr="00E83C24" w:rsidRDefault="00E83C24" w:rsidP="00B06477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83C2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2011 и ранее</w:t>
            </w:r>
          </w:p>
        </w:tc>
        <w:tc>
          <w:tcPr>
            <w:tcW w:w="21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477">
              <w:rPr>
                <w:rFonts w:ascii="Times New Roman" w:hAnsi="Times New Roman" w:cs="Times New Roman"/>
              </w:rPr>
              <w:t>Произведена</w:t>
            </w:r>
            <w:proofErr w:type="gramEnd"/>
            <w:r w:rsidRPr="00B06477">
              <w:rPr>
                <w:rFonts w:ascii="Times New Roman" w:hAnsi="Times New Roman" w:cs="Times New Roman"/>
              </w:rPr>
              <w:t xml:space="preserve"> по состоянию на 31 декабря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2015</w:t>
            </w:r>
            <w:r w:rsidRPr="00B064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B06477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1)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положительного результата инвестирования в 2016–2017 годах</w:t>
            </w:r>
            <w:r w:rsidRPr="00B06477">
              <w:rPr>
                <w:rFonts w:ascii="Times New Roman" w:hAnsi="Times New Roman" w:cs="Times New Roman"/>
              </w:rPr>
              <w:t xml:space="preserve"> новому страховщику в 2018 году будет передана сумма средств пенсионных накоплений, отраженная в год первой пятилетней фиксации, и средства пенсионных накоплений, поступившие в 2016 и 2017 годах без инвестиционного дохода за 2016–2017 годы; </w:t>
            </w:r>
          </w:p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2)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отрицательного результата инвестирования за 2016–2017 годы</w:t>
            </w:r>
            <w:r w:rsidRPr="00B06477">
              <w:rPr>
                <w:rFonts w:ascii="Times New Roman" w:hAnsi="Times New Roman" w:cs="Times New Roman"/>
              </w:rPr>
              <w:t xml:space="preserve"> новому страховщику в 2018 году будет передана сумма средств пенсионных накоплений, отраженная в год первой пятилетней фиксации, и средства пенсионных накоплений, поступившие в 2016 и 2017 годах, с учетом полученного в 2016–2017 годах убытка от инвестирования без гарантийного восполнения.</w:t>
            </w:r>
          </w:p>
        </w:tc>
      </w:tr>
      <w:tr w:rsidR="00E83C24" w:rsidTr="00B06477">
        <w:trPr>
          <w:trHeight w:val="210"/>
        </w:trPr>
        <w:tc>
          <w:tcPr>
            <w:tcW w:w="2629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83C24" w:rsidRPr="00E83C24" w:rsidRDefault="00E83C24" w:rsidP="00B06477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83C2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2012</w:t>
            </w:r>
          </w:p>
        </w:tc>
        <w:tc>
          <w:tcPr>
            <w:tcW w:w="21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477">
              <w:rPr>
                <w:rFonts w:ascii="Times New Roman" w:hAnsi="Times New Roman" w:cs="Times New Roman"/>
              </w:rPr>
              <w:t>Произведена</w:t>
            </w:r>
            <w:proofErr w:type="gramEnd"/>
            <w:r w:rsidRPr="00B06477">
              <w:rPr>
                <w:rFonts w:ascii="Times New Roman" w:hAnsi="Times New Roman" w:cs="Times New Roman"/>
              </w:rPr>
              <w:t xml:space="preserve"> по состоянию на 31 декабря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2016</w:t>
            </w:r>
            <w:r w:rsidRPr="00B064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E16252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1)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положительного результата инвестирования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будет передана сумма средств пенсионных накоплений, отраженная в год первой пятилетней фиксации, включающая фактически сформированные средства пенсионных накоплений без инвестиционного дохода за 2017 год;</w:t>
            </w:r>
          </w:p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b/>
              </w:rPr>
              <w:t>2)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отрицательного результата инвестирования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будет передана фактически сформированная сумма средств пенсионных накоплений, отраженная в год первой пятилетней фиксации, и средства пенсионных накоплений, поступившие в 2017 году с учетом полученного в 2017 году убытка от инвестирования без гарантийного восполнения.</w:t>
            </w:r>
          </w:p>
        </w:tc>
      </w:tr>
      <w:tr w:rsidR="00E83C24" w:rsidTr="00B06477">
        <w:trPr>
          <w:trHeight w:val="255"/>
        </w:trPr>
        <w:tc>
          <w:tcPr>
            <w:tcW w:w="2629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83C24" w:rsidRPr="00E83C24" w:rsidRDefault="00E83C24" w:rsidP="00B06477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83C2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2013</w:t>
            </w:r>
          </w:p>
        </w:tc>
        <w:tc>
          <w:tcPr>
            <w:tcW w:w="21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</w:rPr>
              <w:t xml:space="preserve">Будет произведена по состоянию на 31 декабря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2017</w:t>
            </w:r>
            <w:r w:rsidRPr="00B064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B06477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1)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положительного результата инвестирования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будет передана сумма средств пенсионных накоплений, отраженная в год первой пятилетней фиксации, включающая фактически сформированные средства пенсионных накоплений и инвестиционный доход; </w:t>
            </w:r>
          </w:p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2)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отрицательного результата инвестирования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будет передана фактически сформированная сумма средств пенсионных накоплений с учетом гарантийного восполнения инвестиционного убытка.</w:t>
            </w:r>
          </w:p>
        </w:tc>
      </w:tr>
      <w:tr w:rsidR="00E83C24" w:rsidTr="00B06477">
        <w:trPr>
          <w:trHeight w:val="829"/>
        </w:trPr>
        <w:tc>
          <w:tcPr>
            <w:tcW w:w="2629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83C24" w:rsidRPr="00E83C24" w:rsidRDefault="00E83C24" w:rsidP="00B06477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83C2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2014</w:t>
            </w:r>
          </w:p>
        </w:tc>
        <w:tc>
          <w:tcPr>
            <w:tcW w:w="21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</w:rPr>
              <w:t xml:space="preserve">Будет произведена по состоянию на 31 декабря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2018</w:t>
            </w:r>
            <w:r w:rsidRPr="00B064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70" w:type="dxa"/>
            <w:vMerge w:val="restart"/>
            <w:tcBorders>
              <w:top w:val="single" w:sz="18" w:space="0" w:color="00B050"/>
              <w:left w:val="single" w:sz="18" w:space="0" w:color="00B050"/>
            </w:tcBorders>
            <w:vAlign w:val="center"/>
          </w:tcPr>
          <w:p w:rsidR="00B06477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1)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положительного результата инвестирования в 2015–2017 годах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будут переданы фактически сформированные средства пенсионных накоплений без инвестиционного дохода 2015–2017 годов;</w:t>
            </w:r>
          </w:p>
          <w:p w:rsidR="00B06477" w:rsidRPr="00B06477" w:rsidRDefault="00E83C24" w:rsidP="00E16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2)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отрицательного результата инвестирования в 2015–2017 годах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будут переданы фактически сформированные средства пенсионных накоплений с учетом полученного в 2015–2017 годах убытка от инвестирования без гарантийного восполнения.</w:t>
            </w:r>
          </w:p>
        </w:tc>
      </w:tr>
      <w:tr w:rsidR="00E83C24" w:rsidTr="00B06477">
        <w:trPr>
          <w:trHeight w:val="725"/>
        </w:trPr>
        <w:tc>
          <w:tcPr>
            <w:tcW w:w="2629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83C24" w:rsidRPr="00E83C24" w:rsidRDefault="00E83C24" w:rsidP="00B06477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83C2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2015</w:t>
            </w:r>
          </w:p>
        </w:tc>
        <w:tc>
          <w:tcPr>
            <w:tcW w:w="21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</w:rPr>
              <w:t xml:space="preserve">Будет произведена по состоянию на 31 декабря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2019</w:t>
            </w:r>
            <w:r w:rsidRPr="00B064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70" w:type="dxa"/>
            <w:vMerge/>
            <w:tcBorders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C24" w:rsidTr="00B06477">
        <w:trPr>
          <w:trHeight w:val="300"/>
        </w:trPr>
        <w:tc>
          <w:tcPr>
            <w:tcW w:w="2629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83C24" w:rsidRPr="00E83C24" w:rsidRDefault="00E83C24" w:rsidP="00B06477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83C2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1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</w:rPr>
              <w:t xml:space="preserve">Будет произведена по состоянию на 31 декабря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2020</w:t>
            </w:r>
            <w:r w:rsidRPr="00B064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7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vAlign w:val="center"/>
          </w:tcPr>
          <w:p w:rsidR="00B06477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1)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положительного результата инвестирования в 2016–2017 годах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будут переданы фактически сформированные средства пенсионных накоплений без инвестиционного дохода за 2016–2017 годы;</w:t>
            </w:r>
          </w:p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 xml:space="preserve"> 2)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отрицательного результата инвестирования в 2016–2017 годах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будут переданы фактически сформированные средства пенсионных </w:t>
            </w:r>
            <w:proofErr w:type="gramStart"/>
            <w:r w:rsidRPr="00B06477">
              <w:rPr>
                <w:rFonts w:ascii="Times New Roman" w:hAnsi="Times New Roman" w:cs="Times New Roman"/>
              </w:rPr>
              <w:t>накоплений</w:t>
            </w:r>
            <w:proofErr w:type="gramEnd"/>
            <w:r w:rsidRPr="00B06477">
              <w:rPr>
                <w:rFonts w:ascii="Times New Roman" w:hAnsi="Times New Roman" w:cs="Times New Roman"/>
              </w:rPr>
              <w:t xml:space="preserve"> с учетом полученного в 2016–2017 годах убытка от инвестирования без гарантийного восполнения.</w:t>
            </w:r>
          </w:p>
        </w:tc>
      </w:tr>
      <w:tr w:rsidR="00E83C24" w:rsidTr="00B06477">
        <w:trPr>
          <w:trHeight w:val="2146"/>
        </w:trPr>
        <w:tc>
          <w:tcPr>
            <w:tcW w:w="2629" w:type="dxa"/>
            <w:tcBorders>
              <w:top w:val="single" w:sz="18" w:space="0" w:color="00B050"/>
              <w:bottom w:val="single" w:sz="18" w:space="0" w:color="E36C0A" w:themeColor="accent6" w:themeShade="BF"/>
              <w:right w:val="single" w:sz="18" w:space="0" w:color="00B050"/>
            </w:tcBorders>
            <w:vAlign w:val="center"/>
          </w:tcPr>
          <w:p w:rsidR="00E83C24" w:rsidRPr="00E83C24" w:rsidRDefault="00E83C24" w:rsidP="00B06477">
            <w:pPr>
              <w:tabs>
                <w:tab w:val="left" w:pos="915"/>
                <w:tab w:val="center" w:pos="1202"/>
              </w:tabs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E83C24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2017</w:t>
            </w:r>
            <w:r w:rsidRPr="00B064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175" w:type="dxa"/>
            <w:tcBorders>
              <w:top w:val="single" w:sz="18" w:space="0" w:color="00B050"/>
              <w:left w:val="single" w:sz="18" w:space="0" w:color="00B050"/>
              <w:bottom w:val="single" w:sz="18" w:space="0" w:color="E36C0A" w:themeColor="accent6" w:themeShade="BF"/>
            </w:tcBorders>
            <w:vAlign w:val="center"/>
          </w:tcPr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</w:rPr>
              <w:t xml:space="preserve">Будет произведена по состоянию на 31 декабря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2021</w:t>
            </w:r>
            <w:r w:rsidRPr="00B064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970" w:type="dxa"/>
            <w:tcBorders>
              <w:top w:val="single" w:sz="18" w:space="0" w:color="00B050"/>
              <w:left w:val="single" w:sz="18" w:space="0" w:color="00B050"/>
              <w:bottom w:val="single" w:sz="18" w:space="0" w:color="E36C0A" w:themeColor="accent6" w:themeShade="BF"/>
            </w:tcBorders>
            <w:vAlign w:val="center"/>
          </w:tcPr>
          <w:p w:rsidR="00B06477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1)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положительного результата инвестирования в 2017 году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будут переданы фактически сформированные средства пенсионных накоплений без инвестиционного дохода за 2017 год; </w:t>
            </w:r>
          </w:p>
          <w:p w:rsidR="00E83C24" w:rsidRPr="00B06477" w:rsidRDefault="00E83C24" w:rsidP="00B0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477">
              <w:rPr>
                <w:rFonts w:ascii="Times New Roman" w:hAnsi="Times New Roman" w:cs="Times New Roman"/>
                <w:b/>
              </w:rPr>
              <w:t>2)</w:t>
            </w:r>
            <w:r w:rsidRPr="00B06477">
              <w:rPr>
                <w:rFonts w:ascii="Times New Roman" w:hAnsi="Times New Roman" w:cs="Times New Roman"/>
              </w:rPr>
              <w:t xml:space="preserve"> </w:t>
            </w:r>
            <w:r w:rsidRPr="00B06477">
              <w:rPr>
                <w:rFonts w:ascii="Times New Roman" w:hAnsi="Times New Roman" w:cs="Times New Roman"/>
                <w:color w:val="E36C0A" w:themeColor="accent6" w:themeShade="BF"/>
              </w:rPr>
              <w:t>в случае отрицательного результата инвестирования в 2017 году новому страховщику в 2018 году</w:t>
            </w:r>
            <w:r w:rsidRPr="00B06477">
              <w:rPr>
                <w:rFonts w:ascii="Times New Roman" w:hAnsi="Times New Roman" w:cs="Times New Roman"/>
              </w:rPr>
              <w:t xml:space="preserve"> будут переданы фактически сформированные средства пенсионных </w:t>
            </w:r>
            <w:proofErr w:type="gramStart"/>
            <w:r w:rsidRPr="00B06477">
              <w:rPr>
                <w:rFonts w:ascii="Times New Roman" w:hAnsi="Times New Roman" w:cs="Times New Roman"/>
              </w:rPr>
              <w:t>накоплений</w:t>
            </w:r>
            <w:proofErr w:type="gramEnd"/>
            <w:r w:rsidRPr="00B06477">
              <w:rPr>
                <w:rFonts w:ascii="Times New Roman" w:hAnsi="Times New Roman" w:cs="Times New Roman"/>
              </w:rPr>
              <w:t xml:space="preserve"> с учетом полученного в 2017 году убытка от инвестирования без гарантийного восполнения.</w:t>
            </w:r>
          </w:p>
        </w:tc>
      </w:tr>
    </w:tbl>
    <w:p w:rsidR="00E83C24" w:rsidRDefault="00E83C24" w:rsidP="00B06477">
      <w:pPr>
        <w:spacing w:after="0" w:line="240" w:lineRule="auto"/>
      </w:pPr>
    </w:p>
    <w:p w:rsidR="00E16252" w:rsidRPr="00E16252" w:rsidRDefault="00E16252" w:rsidP="00E1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252">
        <w:rPr>
          <w:rFonts w:ascii="Times New Roman" w:hAnsi="Times New Roman" w:cs="Times New Roman"/>
          <w:sz w:val="24"/>
          <w:szCs w:val="24"/>
        </w:rPr>
        <w:t>* Определение размера средств пенсионных накоплений, подлежащих передаче Пенсионным фондом России при переходе (досрочном переходе) застрахованного лица в НПФ производится в соответствии с Федеральным законом от 24 июля 2002 года № 111-ФЗ «Об инвестировании средств для финансирования накопительной пенсии в Российской Федерации», при переходе (досрочном переходе) застрахованного лица из негосударственного пенсионного фонда в другой НПФ или в ПФР - в соответствии с Федеральным</w:t>
      </w:r>
      <w:proofErr w:type="gramEnd"/>
      <w:r w:rsidRPr="00E16252">
        <w:rPr>
          <w:rFonts w:ascii="Times New Roman" w:hAnsi="Times New Roman" w:cs="Times New Roman"/>
          <w:sz w:val="24"/>
          <w:szCs w:val="24"/>
        </w:rPr>
        <w:t xml:space="preserve"> законом от 7 мая 1998 года № 75-ФЗ «О негосударственных пенсионных фондах».</w:t>
      </w:r>
    </w:p>
    <w:sectPr w:rsidR="00E16252" w:rsidRPr="00E16252" w:rsidSect="00B06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4E8"/>
    <w:rsid w:val="003319B2"/>
    <w:rsid w:val="00B06477"/>
    <w:rsid w:val="00E16252"/>
    <w:rsid w:val="00E44D09"/>
    <w:rsid w:val="00E83C24"/>
    <w:rsid w:val="00F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028KatalevskayaOE</dc:creator>
  <cp:keywords/>
  <dc:description/>
  <cp:lastModifiedBy>028KatalevskayaOE</cp:lastModifiedBy>
  <cp:revision>3</cp:revision>
  <dcterms:created xsi:type="dcterms:W3CDTF">2017-05-16T03:24:00Z</dcterms:created>
  <dcterms:modified xsi:type="dcterms:W3CDTF">2017-05-29T21:21:00Z</dcterms:modified>
</cp:coreProperties>
</file>