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</w:t>
      </w:r>
      <w:r w:rsidR="00086A4D">
        <w:rPr>
          <w:rFonts w:ascii="Times New Roman" w:hAnsi="Times New Roman" w:cs="Times New Roman"/>
          <w:b/>
          <w:sz w:val="48"/>
          <w:szCs w:val="48"/>
        </w:rPr>
        <w:br/>
      </w:r>
      <w:r w:rsidRPr="002628B9">
        <w:rPr>
          <w:rFonts w:ascii="Times New Roman" w:hAnsi="Times New Roman" w:cs="Times New Roman"/>
          <w:b/>
          <w:sz w:val="48"/>
          <w:szCs w:val="48"/>
        </w:rPr>
        <w:t>УЧ</w:t>
      </w:r>
      <w:r w:rsidRPr="002628B9">
        <w:rPr>
          <w:rFonts w:ascii="Times New Roman" w:hAnsi="Times New Roman" w:cs="Times New Roman"/>
          <w:b/>
          <w:sz w:val="48"/>
          <w:szCs w:val="48"/>
        </w:rPr>
        <w:t>А</w:t>
      </w:r>
      <w:r w:rsidRPr="002628B9">
        <w:rPr>
          <w:rFonts w:ascii="Times New Roman" w:hAnsi="Times New Roman" w:cs="Times New Roman"/>
          <w:b/>
          <w:sz w:val="48"/>
          <w:szCs w:val="48"/>
        </w:rPr>
        <w:t>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циалистического Труда, Героям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пеней, гражданам, нагр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знаком отличия ордена Святого Георгия - Георгиевским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граждения (присвоения звания) правомо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чаемой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Ленинской премии,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осущес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влявшим подготовку 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ких чемпионов и входи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венные отношения с умершим (погибшим);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дусмотренной для Героя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на количество членов семьи, имеющих право на ежемесячную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нии полного набора соц. услуг в натураль</w:t>
            </w:r>
            <w:bookmarkStart w:id="0" w:name="_GoBack"/>
            <w:bookmarkEnd w:id="0"/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 действиях в составе Вооруженных Сил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дом пенсионного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.2. </w:t>
            </w:r>
            <w:proofErr w:type="gramStart"/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доставлении 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ском формировании, инвалида) - при 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ежемесячной денежной компе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енный билет, справка военного комисс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лефонных соединений (разговоров), с учетом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  <w:proofErr w:type="gramEnd"/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дительного исполнения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явление умершим) военнослужащего при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  <w:proofErr w:type="gramEnd"/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уголовно-исполнительной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риториях Украины, ДНР, ЛНР, Запорожской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проез-дом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латы проезда лиц, указа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тации и отдельных категорий граждан из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ванием электронного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181-ФЗ «О социальной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24.02.2022 до 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доставляется документ, учреждения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подтвержда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», от 29 декабря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осущес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Брянской области, Вороне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области, Запорожской области, Ку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г. Севастополя, привлече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привлеченным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Севастополя, выполнении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ими возраста 18 лет, дети в возрасте до 23 лет,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должность, не отнесенную к должности государственной или муниципальной службы, работника организации и учре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организации, работника индивидуального предприним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лученных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 от 19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лицом,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пунктом 1.1 статьи 17.1 Федерального закона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венник такого ребенка,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в рамках государственной социальной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18.Сведения о факте обучения заявителя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29.10.2022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нам (за исключением обучающихся по очной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вой премии по договору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86A4D"/>
    <w:rsid w:val="00090E88"/>
    <w:rsid w:val="0009120D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423B9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565B6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C4CE2B-2D12-4686-8EF5-D80B569C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13719</Words>
  <Characters>78203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Пользователь</cp:lastModifiedBy>
  <cp:revision>3</cp:revision>
  <cp:lastPrinted>2025-08-06T06:26:00Z</cp:lastPrinted>
  <dcterms:created xsi:type="dcterms:W3CDTF">2026-02-10T14:13:00Z</dcterms:created>
  <dcterms:modified xsi:type="dcterms:W3CDTF">2026-02-10T14:13:00Z</dcterms:modified>
</cp:coreProperties>
</file>