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25" w:rsidRDefault="00127425">
      <w:pPr>
        <w:pStyle w:val="2"/>
        <w:rPr>
          <w:rFonts w:eastAsia="Times New Roman"/>
        </w:rPr>
      </w:pPr>
      <w:bookmarkStart w:id="0" w:name="_GoBack"/>
      <w:bookmarkEnd w:id="0"/>
    </w:p>
    <w:p w:rsidR="00127425" w:rsidRDefault="00C607FA">
      <w:pPr>
        <w:pStyle w:val="2"/>
        <w:rPr>
          <w:rFonts w:eastAsia="Times New Roman"/>
        </w:rPr>
      </w:pPr>
      <w:r>
        <w:rPr>
          <w:rFonts w:eastAsia="Times New Roman"/>
        </w:rPr>
        <w:t>Районные коэффициенты к оплате труда в районах Крайнего Севера и приравненных к ним местностях</w:t>
      </w:r>
    </w:p>
    <w:p w:rsidR="00127425" w:rsidRDefault="00C607FA">
      <w:pPr>
        <w:pStyle w:val="a5"/>
        <w:jc w:val="center"/>
        <w:divId w:val="997150067"/>
      </w:pPr>
      <w:r>
        <w:t>Районы и местности, отнесенные к Крайнему Северу и приравненным к ним местностям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623"/>
        <w:gridCol w:w="2932"/>
        <w:gridCol w:w="2100"/>
      </w:tblGrid>
      <w:tr w:rsidR="00127425">
        <w:trPr>
          <w:divId w:val="20873369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t>Острова Северного Ледовитого океана и его морей, а также острова Берингова и Охотского морей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t>Мурманская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t>Архангельская область</w:t>
            </w:r>
          </w:p>
        </w:tc>
      </w:tr>
      <w:tr w:rsidR="00127425">
        <w:trPr>
          <w:divId w:val="20873369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t>Ненецкий автономный округ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t>Республика Коми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t>Тюменская область</w:t>
            </w:r>
          </w:p>
        </w:tc>
      </w:tr>
      <w:tr w:rsidR="00127425">
        <w:trPr>
          <w:divId w:val="20873369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t>Ямало-Ненецкий автономный округ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Pr="00F224A0" w:rsidRDefault="00C607FA">
            <w:pPr>
              <w:pStyle w:val="a5"/>
              <w:jc w:val="center"/>
              <w:rPr>
                <w:b/>
              </w:rPr>
            </w:pPr>
            <w:r w:rsidRPr="00F224A0">
              <w:rPr>
                <w:b/>
              </w:rPr>
              <w:t>Ханты-Мансийский автономный округ – Югра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t>Красноярский край</w:t>
            </w:r>
          </w:p>
        </w:tc>
      </w:tr>
      <w:tr w:rsidR="00127425">
        <w:trPr>
          <w:divId w:val="20873369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t>Иркутская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t>Республика Саха (Якутия)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t>Магаданская область</w:t>
            </w:r>
          </w:p>
        </w:tc>
      </w:tr>
      <w:tr w:rsidR="00127425">
        <w:trPr>
          <w:divId w:val="20873369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t>Чукотский автономный округ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t>Камчатский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t>Республика Карелия</w:t>
            </w:r>
          </w:p>
        </w:tc>
      </w:tr>
      <w:tr w:rsidR="00127425">
        <w:trPr>
          <w:divId w:val="20873369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t>Хабаровский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t>Сахалинская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t>Республика Тыва</w:t>
            </w:r>
          </w:p>
        </w:tc>
      </w:tr>
      <w:tr w:rsidR="00127425">
        <w:trPr>
          <w:divId w:val="20873369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6F20DF">
            <w:pPr>
              <w:pStyle w:val="a5"/>
              <w:jc w:val="center"/>
            </w:pPr>
            <w:r>
              <w:t>Забайкальский край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t>Томская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t>Республика Бурятия</w:t>
            </w:r>
          </w:p>
        </w:tc>
      </w:tr>
      <w:tr w:rsidR="00127425">
        <w:trPr>
          <w:divId w:val="20873369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6F20DF">
            <w:pPr>
              <w:pStyle w:val="a5"/>
              <w:jc w:val="center"/>
            </w:pPr>
            <w:r>
              <w:t>Республика Алтай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t>Амурская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t>Приморский край</w:t>
            </w:r>
          </w:p>
        </w:tc>
      </w:tr>
    </w:tbl>
    <w:p w:rsidR="00127425" w:rsidRDefault="00C607FA">
      <w:pPr>
        <w:pStyle w:val="a5"/>
        <w:jc w:val="center"/>
        <w:divId w:val="997150067"/>
      </w:pPr>
      <w:r>
        <w:t> </w:t>
      </w:r>
      <w:r>
        <w:br/>
      </w:r>
      <w:r>
        <w:rPr>
          <w:b/>
          <w:bCs/>
        </w:rPr>
        <w:t>Районные коэффициенты к оплате труда</w:t>
      </w:r>
      <w:r>
        <w:t>***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82"/>
        <w:gridCol w:w="960"/>
        <w:gridCol w:w="4813"/>
      </w:tblGrid>
      <w:tr w:rsidR="00127425">
        <w:trPr>
          <w:divId w:val="92264396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rPr>
                <w:b/>
                <w:bCs/>
              </w:rPr>
              <w:t xml:space="preserve">Ханты-Мансийский автономный округ – </w:t>
            </w:r>
            <w:proofErr w:type="spellStart"/>
            <w:r>
              <w:rPr>
                <w:b/>
                <w:bCs/>
              </w:rPr>
              <w:t>Югра</w:t>
            </w:r>
            <w:proofErr w:type="spellEnd"/>
          </w:p>
        </w:tc>
      </w:tr>
      <w:tr w:rsidR="00127425">
        <w:trPr>
          <w:divId w:val="9226439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Город Лангепас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t>1,70**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Решение Думы города Лангепаса от 24.12.2004 № 106</w:t>
            </w:r>
          </w:p>
        </w:tc>
      </w:tr>
      <w:tr w:rsidR="00127425">
        <w:trPr>
          <w:divId w:val="9226439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Город Ханты-Мансийск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t>1,70**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Решение Думы города Ханты-Мансийска Ханты-Мансийского автономного округа – Югры от 28.05.2010 № 982</w:t>
            </w:r>
          </w:p>
        </w:tc>
      </w:tr>
      <w:tr w:rsidR="00127425">
        <w:trPr>
          <w:divId w:val="92264396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Нижневартовский район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t>1,70**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Решение Думы Нижневартовского района Ханты-Мансийского автономного округа – Югры от 22.04.2016 № 26</w:t>
            </w:r>
          </w:p>
        </w:tc>
      </w:tr>
      <w:tr w:rsidR="00127425">
        <w:trPr>
          <w:divId w:val="9226439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Решение Думы Нижневартовского района Ханты-Мансийского автономного округа – Югры от 26.08.2011 № 81</w:t>
            </w:r>
          </w:p>
        </w:tc>
      </w:tr>
      <w:tr w:rsidR="00127425">
        <w:trPr>
          <w:divId w:val="9226439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В районах севернее 60 град. северной широты на период освоения и обустройства нефтяных и газовых месторождений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t>1,70**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Постановление Госкомтруда СССР, Секретариата ВЦСПС от 29.12.1964 № 611/35</w:t>
            </w:r>
          </w:p>
        </w:tc>
      </w:tr>
      <w:tr w:rsidR="00127425">
        <w:trPr>
          <w:divId w:val="92264396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В районах освоения нефтяных и газовых месторождений севернее 60 град. северной широты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t>1,50**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Постановление Госкомтруда СССР, Секретариата ВЦСПС от 30.06.1970 № 210/18</w:t>
            </w:r>
          </w:p>
        </w:tc>
      </w:tr>
      <w:tr w:rsidR="00127425">
        <w:trPr>
          <w:divId w:val="9226439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Постановление Госкомтруда СССР, Секретариата ВЦСПС от 23.09.1969 № 379/23</w:t>
            </w:r>
          </w:p>
        </w:tc>
      </w:tr>
      <w:tr w:rsidR="00127425">
        <w:trPr>
          <w:divId w:val="9226439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В местностях, расположенных севернее 62 град. северной широты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t>1,50**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Постановление Госкомтруда СССР, Секретариата ВЦСПС от 09.07.1963 № 196/16</w:t>
            </w:r>
          </w:p>
        </w:tc>
      </w:tr>
      <w:tr w:rsidR="00127425">
        <w:trPr>
          <w:divId w:val="92264396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На остальной территории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t>1,30**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Постановление Госкомтруда СССР, Секретариата ВЦСПС от 30.06.1970 № 210/18</w:t>
            </w:r>
          </w:p>
        </w:tc>
      </w:tr>
      <w:tr w:rsidR="00127425">
        <w:trPr>
          <w:divId w:val="9226439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Постановление Госкомтруда СССР, Секретариата ВЦСПС от 19.01.1961 № 45/2</w:t>
            </w:r>
          </w:p>
        </w:tc>
      </w:tr>
      <w:tr w:rsidR="00127425">
        <w:trPr>
          <w:divId w:val="9226439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Постановление Госкомтруда СССР, Секретариата ВЦСПС от 23.09.1969 № 379/23</w:t>
            </w:r>
          </w:p>
        </w:tc>
      </w:tr>
      <w:tr w:rsidR="00127425">
        <w:trPr>
          <w:divId w:val="92264396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На всей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t>1,70**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Закон Ханты-Мансийского автономного округа – Югры от 09.12.2004 № 76-оз</w:t>
            </w:r>
          </w:p>
        </w:tc>
      </w:tr>
      <w:tr w:rsidR="00127425">
        <w:trPr>
          <w:divId w:val="9226439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  <w:jc w:val="center"/>
            </w:pPr>
            <w:r>
              <w:t>1,30**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Постановление Госкомтруда СССР, Секретариата ВЦСПС от 18.06.1960 № 815/17</w:t>
            </w:r>
          </w:p>
        </w:tc>
      </w:tr>
      <w:tr w:rsidR="00127425">
        <w:trPr>
          <w:divId w:val="9226439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Постановление Госкомтруда СССР, Президиума ВЦСПС от 04.09.1964 № 380/П-18</w:t>
            </w:r>
          </w:p>
        </w:tc>
      </w:tr>
      <w:tr w:rsidR="00127425">
        <w:trPr>
          <w:divId w:val="9226439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Постановление Госкомтруда СССР от 23.06.1965 № 401</w:t>
            </w:r>
          </w:p>
        </w:tc>
      </w:tr>
      <w:tr w:rsidR="00127425">
        <w:trPr>
          <w:divId w:val="9226439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Постановление Госкомтруда СССР, Секретариата ВЦСПС от 09.01.1961 № 15/1</w:t>
            </w:r>
          </w:p>
        </w:tc>
      </w:tr>
      <w:tr w:rsidR="00127425">
        <w:trPr>
          <w:divId w:val="9226439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Постановление Госкомтруда СССР, Президиума ВЦСПС от 04.09.1964 № 379/П-18</w:t>
            </w:r>
          </w:p>
        </w:tc>
      </w:tr>
      <w:tr w:rsidR="00127425">
        <w:trPr>
          <w:divId w:val="9226439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Постановление Госкомтруда СССР, Секретариата ВЦСПС от 29.11.1960 № 1310/29</w:t>
            </w:r>
          </w:p>
        </w:tc>
      </w:tr>
      <w:tr w:rsidR="00127425">
        <w:trPr>
          <w:divId w:val="9226439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Постановление Госкомтруда СССР, Секретариата ВЦСПС от 22.11.1960 № 1296/30</w:t>
            </w:r>
          </w:p>
        </w:tc>
      </w:tr>
      <w:tr w:rsidR="00127425">
        <w:trPr>
          <w:divId w:val="9226439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Постановление Госкомтруда СССР, Секретариата ВЦСПС от 03.11.1960 № 1251/28</w:t>
            </w:r>
          </w:p>
        </w:tc>
      </w:tr>
      <w:tr w:rsidR="00127425">
        <w:trPr>
          <w:divId w:val="9226439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Постановление Госкомтруда СССР, Секретариата ВЦСПС от 08.10.1960 № 1167/26</w:t>
            </w:r>
          </w:p>
        </w:tc>
      </w:tr>
      <w:tr w:rsidR="00127425">
        <w:trPr>
          <w:divId w:val="9226439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Постановление Госкомтруда СССР, Секретариата ВЦСПС от 31.03.1960 № 476/9</w:t>
            </w:r>
          </w:p>
        </w:tc>
      </w:tr>
      <w:tr w:rsidR="00127425">
        <w:trPr>
          <w:divId w:val="9226439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Постановление Госкомтруда СССР, Секретариата ВЦСПС от 31.03.1960 № 470/9</w:t>
            </w:r>
          </w:p>
        </w:tc>
      </w:tr>
      <w:tr w:rsidR="00127425">
        <w:trPr>
          <w:divId w:val="9226439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Постановление Госкомтруда СССР, Секретариата ВЦСПС от 31.03.1960 № 453/9</w:t>
            </w:r>
          </w:p>
        </w:tc>
      </w:tr>
      <w:tr w:rsidR="00127425">
        <w:trPr>
          <w:divId w:val="9226439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Постановление Госкомтруда СССР, Секретариата ВЦСПС от 27.07.1959 № 527/13</w:t>
            </w:r>
          </w:p>
        </w:tc>
      </w:tr>
      <w:tr w:rsidR="00127425">
        <w:trPr>
          <w:divId w:val="9226439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12742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7425" w:rsidRDefault="00C607FA">
            <w:pPr>
              <w:pStyle w:val="a5"/>
            </w:pPr>
            <w:r>
              <w:t>Постановление Госкомтруда СССР, Секретариата ВЦСПС от 21.07.1961 № 302/19</w:t>
            </w:r>
          </w:p>
        </w:tc>
      </w:tr>
    </w:tbl>
    <w:p w:rsidR="00127425" w:rsidRDefault="00C607FA">
      <w:pPr>
        <w:pStyle w:val="a5"/>
        <w:divId w:val="997150067"/>
      </w:pPr>
      <w:r>
        <w:br/>
        <w:t>* Коэффициент применяется ко всем сотрудникам и во всех отраслях.</w:t>
      </w:r>
    </w:p>
    <w:p w:rsidR="00127425" w:rsidRDefault="00C607FA">
      <w:pPr>
        <w:pStyle w:val="a5"/>
        <w:divId w:val="997150067"/>
      </w:pPr>
      <w:r>
        <w:t>** Коэффициент применяется к отдельным категориям сотрудников и (или) в отдельных отраслях, перечисленных в соответствующих нормативно-правовых актах.</w:t>
      </w:r>
    </w:p>
    <w:p w:rsidR="00127425" w:rsidRDefault="00C607FA">
      <w:pPr>
        <w:pStyle w:val="a5"/>
        <w:divId w:val="997150067"/>
      </w:pPr>
      <w:r>
        <w:t>*** Региональные (местные) власти вправе устанавливать повышенные районные коэффициенты и процентные надбавки для учреждений, финансируемых за счет муниципальных бюджетов или бюджетов субъекта РФ. В этом случае эти учреждения должны применять повышенные коэффициенты и надбавки (</w:t>
      </w:r>
      <w:proofErr w:type="gramStart"/>
      <w:r>
        <w:t>ч</w:t>
      </w:r>
      <w:proofErr w:type="gramEnd"/>
      <w:r>
        <w:t xml:space="preserve">. 2 ст. 316, 317 ТК). В свою очередь, коммерческие организации не обязаны, но вправе применять повышенный районный коэффициент и (или) надбавку, установленные нормативным актом субъекта РФ или входящего в него муниципального образования. Чтобы применять повышенный коэффициент (надбавку), организация должна определить его в </w:t>
      </w:r>
      <w:r>
        <w:lastRenderedPageBreak/>
        <w:t>коллективном или трудовом договоре. Аналогичные выводы следуют из письма Минтруда России от 26.11.2012 № 11-4/660.</w:t>
      </w:r>
    </w:p>
    <w:p w:rsidR="00127425" w:rsidRDefault="00C607FA">
      <w:pPr>
        <w:pStyle w:val="a5"/>
        <w:divId w:val="997150067"/>
      </w:pPr>
      <w:r>
        <w:t>**** Районные коэффициенты для сотрудников непроизводственной сферы приведены в письме департамента по вопросам пенсионного обеспечения Минтруда России, департамента доходов населения и уровня жизни Минтруда России, департамента организации назначения и выплаты пенсий ПФР от 09.06.2003 № 1199-16, 670-9, 25-23/5995.</w:t>
      </w:r>
    </w:p>
    <w:p w:rsidR="00127425" w:rsidRDefault="00C607FA">
      <w:pPr>
        <w:pStyle w:val="a5"/>
        <w:divId w:val="997150067"/>
      </w:pPr>
      <w:r>
        <w:t>Непроизводственная сфера – условное название отраслей и видов деятельности, которые не составляют материальное производство. В советской экономической статистике к непроизводственной сфере относили сферу бытовых услуг, науку, культуру, образование, здравоохранение, управление. В настоящее время термин «непроизводственная сфера» берут из научного употребления и заменяют понятиями «социально-культурная сфера», «социальная сфера». В действующих нормативных актах такого термина нет.</w:t>
      </w:r>
    </w:p>
    <w:p w:rsidR="00127425" w:rsidRDefault="00C607FA">
      <w:pPr>
        <w:pStyle w:val="a5"/>
        <w:divId w:val="997150067"/>
      </w:pPr>
      <w:r>
        <w:t>В ОКОНХ под непроизводственной сферой понимались отрасли и виды деятельности, в процессе которых не создают материальные блага:</w:t>
      </w:r>
    </w:p>
    <w:p w:rsidR="00127425" w:rsidRDefault="00C607FA">
      <w:pPr>
        <w:numPr>
          <w:ilvl w:val="0"/>
          <w:numId w:val="2"/>
        </w:numPr>
        <w:spacing w:after="103"/>
        <w:ind w:left="686"/>
        <w:divId w:val="997150067"/>
        <w:rPr>
          <w:rFonts w:eastAsia="Times New Roman"/>
        </w:rPr>
      </w:pPr>
      <w:r>
        <w:rPr>
          <w:rFonts w:eastAsia="Times New Roman"/>
        </w:rPr>
        <w:t>жилищно-коммунальное хозяйство;</w:t>
      </w:r>
    </w:p>
    <w:p w:rsidR="00127425" w:rsidRDefault="00C607FA">
      <w:pPr>
        <w:numPr>
          <w:ilvl w:val="0"/>
          <w:numId w:val="2"/>
        </w:numPr>
        <w:spacing w:after="103"/>
        <w:ind w:left="686"/>
        <w:divId w:val="997150067"/>
        <w:rPr>
          <w:rFonts w:eastAsia="Times New Roman"/>
        </w:rPr>
      </w:pPr>
      <w:r>
        <w:rPr>
          <w:rFonts w:eastAsia="Times New Roman"/>
        </w:rPr>
        <w:t>непроизводственные виды бытового обслуживания населения;</w:t>
      </w:r>
    </w:p>
    <w:p w:rsidR="00127425" w:rsidRDefault="00C607FA">
      <w:pPr>
        <w:numPr>
          <w:ilvl w:val="0"/>
          <w:numId w:val="2"/>
        </w:numPr>
        <w:spacing w:after="103"/>
        <w:ind w:left="686"/>
        <w:divId w:val="997150067"/>
        <w:rPr>
          <w:rFonts w:eastAsia="Times New Roman"/>
        </w:rPr>
      </w:pPr>
      <w:r>
        <w:rPr>
          <w:rFonts w:eastAsia="Times New Roman"/>
        </w:rPr>
        <w:t>здравоохранение, физическая культура и социальное обеспечение;</w:t>
      </w:r>
    </w:p>
    <w:p w:rsidR="00127425" w:rsidRDefault="00C607FA">
      <w:pPr>
        <w:numPr>
          <w:ilvl w:val="0"/>
          <w:numId w:val="2"/>
        </w:numPr>
        <w:spacing w:after="103"/>
        <w:ind w:left="686"/>
        <w:divId w:val="997150067"/>
        <w:rPr>
          <w:rFonts w:eastAsia="Times New Roman"/>
        </w:rPr>
      </w:pPr>
      <w:r>
        <w:rPr>
          <w:rFonts w:eastAsia="Times New Roman"/>
        </w:rPr>
        <w:t>народное образование;</w:t>
      </w:r>
    </w:p>
    <w:p w:rsidR="00127425" w:rsidRDefault="00C607FA">
      <w:pPr>
        <w:numPr>
          <w:ilvl w:val="0"/>
          <w:numId w:val="2"/>
        </w:numPr>
        <w:spacing w:after="103"/>
        <w:ind w:left="686"/>
        <w:divId w:val="997150067"/>
        <w:rPr>
          <w:rFonts w:eastAsia="Times New Roman"/>
        </w:rPr>
      </w:pPr>
      <w:r>
        <w:rPr>
          <w:rFonts w:eastAsia="Times New Roman"/>
        </w:rPr>
        <w:t>культура и искусство;</w:t>
      </w:r>
    </w:p>
    <w:p w:rsidR="00127425" w:rsidRDefault="00C607FA">
      <w:pPr>
        <w:numPr>
          <w:ilvl w:val="0"/>
          <w:numId w:val="2"/>
        </w:numPr>
        <w:spacing w:after="103"/>
        <w:ind w:left="686"/>
        <w:divId w:val="997150067"/>
        <w:rPr>
          <w:rFonts w:eastAsia="Times New Roman"/>
        </w:rPr>
      </w:pPr>
      <w:r>
        <w:rPr>
          <w:rFonts w:eastAsia="Times New Roman"/>
        </w:rPr>
        <w:t>наука и научное обслуживание;</w:t>
      </w:r>
    </w:p>
    <w:p w:rsidR="00127425" w:rsidRDefault="00C607FA">
      <w:pPr>
        <w:numPr>
          <w:ilvl w:val="0"/>
          <w:numId w:val="2"/>
        </w:numPr>
        <w:spacing w:after="103"/>
        <w:ind w:left="686"/>
        <w:divId w:val="997150067"/>
        <w:rPr>
          <w:rFonts w:eastAsia="Times New Roman"/>
        </w:rPr>
      </w:pPr>
      <w:r>
        <w:rPr>
          <w:rFonts w:eastAsia="Times New Roman"/>
        </w:rPr>
        <w:t>финансы, кредит, страхование, пенсионное обеспечение;</w:t>
      </w:r>
    </w:p>
    <w:p w:rsidR="00127425" w:rsidRDefault="00C607FA">
      <w:pPr>
        <w:numPr>
          <w:ilvl w:val="0"/>
          <w:numId w:val="2"/>
        </w:numPr>
        <w:spacing w:after="103"/>
        <w:ind w:left="686"/>
        <w:divId w:val="997150067"/>
        <w:rPr>
          <w:rFonts w:eastAsia="Times New Roman"/>
        </w:rPr>
      </w:pPr>
      <w:r>
        <w:rPr>
          <w:rFonts w:eastAsia="Times New Roman"/>
        </w:rPr>
        <w:t>управление;</w:t>
      </w:r>
    </w:p>
    <w:p w:rsidR="00127425" w:rsidRDefault="00C607FA">
      <w:pPr>
        <w:numPr>
          <w:ilvl w:val="0"/>
          <w:numId w:val="2"/>
        </w:numPr>
        <w:spacing w:after="103"/>
        <w:ind w:left="686"/>
        <w:divId w:val="997150067"/>
        <w:rPr>
          <w:rFonts w:eastAsia="Times New Roman"/>
        </w:rPr>
      </w:pPr>
      <w:r>
        <w:rPr>
          <w:rFonts w:eastAsia="Times New Roman"/>
        </w:rPr>
        <w:t>общественные объединения;</w:t>
      </w:r>
    </w:p>
    <w:p w:rsidR="00C607FA" w:rsidRDefault="00C607FA">
      <w:pPr>
        <w:numPr>
          <w:ilvl w:val="0"/>
          <w:numId w:val="2"/>
        </w:numPr>
        <w:spacing w:after="103"/>
        <w:ind w:left="686"/>
        <w:divId w:val="997150067"/>
        <w:rPr>
          <w:rFonts w:eastAsia="Times New Roman"/>
        </w:rPr>
      </w:pPr>
      <w:r>
        <w:rPr>
          <w:rFonts w:eastAsia="Times New Roman"/>
        </w:rPr>
        <w:t>экстерриториальные организации и органы.</w:t>
      </w:r>
    </w:p>
    <w:sectPr w:rsidR="00C607FA" w:rsidSect="00A92AE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FF3" w:rsidRDefault="00AD6FF3">
      <w:r>
        <w:separator/>
      </w:r>
    </w:p>
  </w:endnote>
  <w:endnote w:type="continuationSeparator" w:id="0">
    <w:p w:rsidR="00AD6FF3" w:rsidRDefault="00AD6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EE" w:rsidRDefault="006142EE">
    <w:pPr>
      <w:rPr>
        <w:b/>
      </w:rPr>
    </w:pPr>
    <w:r>
      <w:rPr>
        <w:b/>
      </w:rPr>
      <w:t>Материалы подготовлены редакцией журнала «Главбух»</w:t>
    </w:r>
  </w:p>
  <w:p w:rsidR="006142EE" w:rsidRDefault="006142EE">
    <w:pPr>
      <w:rPr>
        <w:b/>
      </w:rPr>
    </w:pPr>
    <w:r>
      <w:rPr>
        <w:b/>
      </w:rPr>
      <w:t xml:space="preserve">Все сервисы: </w:t>
    </w:r>
    <w:r>
      <w:rPr>
        <w:b/>
        <w:lang w:val="en-US"/>
      </w:rPr>
      <w:t>www</w:t>
    </w:r>
    <w:r>
      <w:rPr>
        <w:b/>
      </w:rPr>
      <w:t>.</w:t>
    </w:r>
    <w:proofErr w:type="spellStart"/>
    <w:r>
      <w:rPr>
        <w:b/>
        <w:lang w:val="en-US"/>
      </w:rPr>
      <w:t>glavbukh</w:t>
    </w:r>
    <w:proofErr w:type="spellEnd"/>
    <w:r>
      <w:rPr>
        <w:b/>
      </w:rPr>
      <w:t>.</w:t>
    </w:r>
    <w:proofErr w:type="spellStart"/>
    <w:r>
      <w:rPr>
        <w:b/>
        <w:lang w:val="en-US"/>
      </w:rPr>
      <w:t>ru</w:t>
    </w:r>
    <w:proofErr w:type="spellEnd"/>
    <w:r>
      <w:rPr>
        <w:b/>
      </w:rPr>
      <w:t>/</w:t>
    </w:r>
    <w:r>
      <w:rPr>
        <w:b/>
        <w:lang w:val="en-US"/>
      </w:rPr>
      <w:t>service</w:t>
    </w:r>
    <w:r>
      <w:rPr>
        <w:b/>
      </w:rPr>
      <w:t>_</w:t>
    </w:r>
    <w:r>
      <w:rPr>
        <w:b/>
        <w:lang w:val="en-US"/>
      </w:rPr>
      <w:t>new</w:t>
    </w:r>
    <w:r>
      <w:rPr>
        <w:b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FF3" w:rsidRDefault="00AD6FF3">
      <w:r>
        <w:separator/>
      </w:r>
    </w:p>
  </w:footnote>
  <w:footnote w:type="continuationSeparator" w:id="0">
    <w:p w:rsidR="00AD6FF3" w:rsidRDefault="00AD6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EE" w:rsidRDefault="006142EE">
    <w:pPr>
      <w:pStyle w:val="a6"/>
    </w:pPr>
  </w:p>
  <w:tbl>
    <w:tblPr>
      <w:tblW w:w="9606" w:type="dxa"/>
      <w:tblLook w:val="04A0"/>
    </w:tblPr>
    <w:tblGrid>
      <w:gridCol w:w="3936"/>
      <w:gridCol w:w="2268"/>
      <w:gridCol w:w="3402"/>
    </w:tblGrid>
    <w:tr w:rsidR="006142EE">
      <w:trPr>
        <w:trHeight w:val="357"/>
      </w:trPr>
      <w:tc>
        <w:tcPr>
          <w:tcW w:w="3936" w:type="dxa"/>
          <w:vMerge w:val="restart"/>
          <w:hideMark/>
        </w:tcPr>
        <w:p w:rsidR="006142EE" w:rsidRDefault="006142EE">
          <w:r>
            <w:rPr>
              <w:noProof/>
            </w:rPr>
            <w:drawing>
              <wp:inline distT="0" distB="0" distL="0" distR="0">
                <wp:extent cx="1282700" cy="579755"/>
                <wp:effectExtent l="0" t="0" r="0" b="0"/>
                <wp:docPr id="1" name="Рисунок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gridSpan w:val="2"/>
          <w:vAlign w:val="bottom"/>
          <w:hideMark/>
        </w:tcPr>
        <w:p w:rsidR="006142EE" w:rsidRDefault="006142EE">
          <w:pPr>
            <w:tabs>
              <w:tab w:val="left" w:pos="1774"/>
            </w:tabs>
            <w:rPr>
              <w:b/>
            </w:rPr>
          </w:pPr>
          <w:r>
            <w:rPr>
              <w:b/>
            </w:rPr>
            <w:t xml:space="preserve">Быстрая подписка </w:t>
          </w:r>
        </w:p>
      </w:tc>
    </w:tr>
    <w:tr w:rsidR="006142EE">
      <w:trPr>
        <w:trHeight w:val="357"/>
      </w:trPr>
      <w:tc>
        <w:tcPr>
          <w:tcW w:w="0" w:type="auto"/>
          <w:vMerge/>
          <w:vAlign w:val="center"/>
          <w:hideMark/>
        </w:tcPr>
        <w:p w:rsidR="006142EE" w:rsidRDefault="006142EE"/>
      </w:tc>
      <w:tc>
        <w:tcPr>
          <w:tcW w:w="2268" w:type="dxa"/>
          <w:vAlign w:val="bottom"/>
          <w:hideMark/>
        </w:tcPr>
        <w:p w:rsidR="006142EE" w:rsidRDefault="006142EE">
          <w:r>
            <w:t>8 495 785-01-14</w:t>
          </w:r>
        </w:p>
        <w:p w:rsidR="006142EE" w:rsidRDefault="006142EE">
          <w:pPr>
            <w:rPr>
              <w:b/>
            </w:rPr>
          </w:pPr>
          <w:r>
            <w:t>8 800 222-15-72</w:t>
          </w:r>
        </w:p>
      </w:tc>
      <w:tc>
        <w:tcPr>
          <w:tcW w:w="3402" w:type="dxa"/>
          <w:vAlign w:val="bottom"/>
          <w:hideMark/>
        </w:tcPr>
        <w:p w:rsidR="006142EE" w:rsidRDefault="006142EE">
          <w:pPr>
            <w:ind w:left="33"/>
          </w:pPr>
          <w:r>
            <w:t>звонок бесплатный</w:t>
          </w:r>
        </w:p>
      </w:tc>
    </w:tr>
  </w:tbl>
  <w:p w:rsidR="006142EE" w:rsidRDefault="006142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21035"/>
    <w:multiLevelType w:val="multilevel"/>
    <w:tmpl w:val="C770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5610"/>
    <w:rsid w:val="00075E24"/>
    <w:rsid w:val="00102D38"/>
    <w:rsid w:val="00127425"/>
    <w:rsid w:val="0037706D"/>
    <w:rsid w:val="003B2840"/>
    <w:rsid w:val="003D6DCD"/>
    <w:rsid w:val="005347C1"/>
    <w:rsid w:val="005F40AC"/>
    <w:rsid w:val="006142EE"/>
    <w:rsid w:val="00630EBB"/>
    <w:rsid w:val="00673955"/>
    <w:rsid w:val="006C6C9A"/>
    <w:rsid w:val="006F20DF"/>
    <w:rsid w:val="007015C3"/>
    <w:rsid w:val="00A60D7B"/>
    <w:rsid w:val="00A92AE6"/>
    <w:rsid w:val="00AD6FF3"/>
    <w:rsid w:val="00B21C93"/>
    <w:rsid w:val="00C607FA"/>
    <w:rsid w:val="00F224A0"/>
    <w:rsid w:val="00F22600"/>
    <w:rsid w:val="00F645B2"/>
    <w:rsid w:val="00FB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E6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92A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2A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A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2AE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A92AE6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92AE6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A92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92AE6"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rsid w:val="00A92AE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A92A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92AE6"/>
    <w:rPr>
      <w:rFonts w:ascii="Times New Roman" w:eastAsiaTheme="minorEastAsia" w:hAnsi="Times New Roman" w:cs="Times New Roman" w:hint="default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92A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92AE6"/>
    <w:rPr>
      <w:rFonts w:ascii="Times New Roman" w:eastAsiaTheme="minorEastAsia" w:hAnsi="Times New Roman" w:cs="Times New Roman" w:hint="default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92A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92AE6"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rsid w:val="00A92AE6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rsid w:val="00A92AE6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rsid w:val="00A92AE6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rsid w:val="00A92AE6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rsid w:val="00A92AE6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rsid w:val="00A92AE6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rsid w:val="00A92AE6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rsid w:val="00A92AE6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rsid w:val="00A92AE6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rsid w:val="00A92AE6"/>
    <w:pPr>
      <w:spacing w:before="60" w:after="180"/>
    </w:pPr>
  </w:style>
  <w:style w:type="paragraph" w:customStyle="1" w:styleId="content2">
    <w:name w:val="content2"/>
    <w:basedOn w:val="a"/>
    <w:uiPriority w:val="99"/>
    <w:rsid w:val="00A92AE6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rsid w:val="00A92AE6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A92AE6"/>
    <w:rPr>
      <w:vanish/>
      <w:webHidden w:val="0"/>
      <w:specVanish w:val="0"/>
    </w:rPr>
  </w:style>
  <w:style w:type="character" w:customStyle="1" w:styleId="storno">
    <w:name w:val="storno"/>
    <w:basedOn w:val="a0"/>
    <w:rsid w:val="00A92AE6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A92AE6"/>
    <w:rPr>
      <w:rFonts w:ascii="Helvetica" w:hAnsi="Helvetica" w:cs="Helvetica" w:hint="default"/>
      <w:b/>
      <w:bCs/>
      <w:sz w:val="21"/>
      <w:szCs w:val="21"/>
    </w:rPr>
  </w:style>
  <w:style w:type="character" w:customStyle="1" w:styleId="doc-notes1">
    <w:name w:val="doc-notes1"/>
    <w:basedOn w:val="a0"/>
    <w:rsid w:val="00A92AE6"/>
    <w:rPr>
      <w:vanish/>
      <w:webHidden w:val="0"/>
      <w:specVanish w:val="0"/>
    </w:rPr>
  </w:style>
  <w:style w:type="character" w:customStyle="1" w:styleId="btn">
    <w:name w:val="btn"/>
    <w:basedOn w:val="a0"/>
    <w:rsid w:val="00A92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50067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Зайнулабидова Валентина</dc:creator>
  <cp:lastModifiedBy>027DubasovaAYU</cp:lastModifiedBy>
  <cp:revision>3</cp:revision>
  <dcterms:created xsi:type="dcterms:W3CDTF">2022-12-22T09:16:00Z</dcterms:created>
  <dcterms:modified xsi:type="dcterms:W3CDTF">2023-01-24T04:28:00Z</dcterms:modified>
</cp:coreProperties>
</file>