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7"/>
        <w:jc w:val="center"/>
        <w:rPr>
          <w:color w:val="auto"/>
          <w:spacing w:val="3"/>
          <w:sz w:val="28"/>
          <w:szCs w:val="28"/>
          <w:lang w:eastAsia="ru-RU"/>
        </w:rPr>
      </w:pPr>
      <w:r>
        <w:rPr>
          <w:color w:val="auto"/>
          <w:spacing w:val="3"/>
          <w:sz w:val="28"/>
          <w:szCs w:val="28"/>
          <w:lang w:eastAsia="ru-RU"/>
        </w:rPr>
        <w:t>Уважаемый страхователь!</w:t>
      </w:r>
    </w:p>
    <w:p>
      <w:pPr>
        <w:ind w:firstLine="567"/>
        <w:jc w:val="center"/>
        <w:rPr>
          <w:color w:val="auto"/>
          <w:spacing w:val="3"/>
          <w:sz w:val="28"/>
          <w:szCs w:val="28"/>
          <w:lang w:eastAsia="ru-RU"/>
        </w:rPr>
      </w:pPr>
    </w:p>
    <w:p>
      <w:pPr>
        <w:ind w:firstLine="567"/>
        <w:jc w:val="both"/>
        <w:rPr>
          <w:sz w:val="28"/>
          <w:szCs w:val="28"/>
        </w:rPr>
      </w:pPr>
      <w:r>
        <w:rPr>
          <w:color w:val="auto"/>
          <w:spacing w:val="3"/>
          <w:sz w:val="28"/>
          <w:szCs w:val="28"/>
          <w:lang w:eastAsia="ru-RU"/>
        </w:rPr>
        <w:t xml:space="preserve">Отделение </w:t>
      </w:r>
      <w:r>
        <w:rPr>
          <w:iCs/>
          <w:color w:val="auto"/>
          <w:spacing w:val="3"/>
          <w:sz w:val="28"/>
          <w:szCs w:val="28"/>
          <w:lang w:eastAsia="ru-RU"/>
        </w:rPr>
        <w:t xml:space="preserve">Фонда пенсионного и социального страхования Российской Федерации по Ханты-Мансийскому автономному округу – Югре </w:t>
      </w:r>
      <w:r>
        <w:rPr>
          <w:sz w:val="28"/>
          <w:szCs w:val="28"/>
        </w:rPr>
        <w:t xml:space="preserve">сообщает </w:t>
      </w:r>
      <w:r>
        <w:rPr>
          <w:sz w:val="28"/>
          <w:szCs w:val="28"/>
        </w:rPr>
        <w:t>о переводе процессов по приему и обработке сведений через общедоступные сервисы в ГИС ЕЦП</w:t>
      </w:r>
      <w:r>
        <w:rPr>
          <w:rStyle w:val="af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13 апреля 2026 года на сайте СФР размещены ссылки для подачи сведений индивидуального (персонифицированного) учета в электронном виде для страхователей, у которых отсутствует усиленная квалифицированная электронная подпись, с целью упрощения приема сведений при их обращении с документами в бумажном виде.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ссылке «Загрузить и отправить на обработку подготовленный файл отчетности» (</w:t>
      </w:r>
      <w:hyperlink r:id="rId8" w:history="1">
        <w:r>
          <w:rPr>
            <w:rStyle w:val="af0"/>
            <w:sz w:val="28"/>
            <w:szCs w:val="28"/>
          </w:rPr>
          <w:t>https://ecp.sfr.gov.ru/site/load-draft-report</w:t>
        </w:r>
      </w:hyperlink>
      <w:r>
        <w:rPr>
          <w:sz w:val="28"/>
          <w:szCs w:val="28"/>
        </w:rPr>
        <w:t>) будет доступна возможность загрузки заранее подготовленного файла отчетности по формам СЗВ-КОРР</w:t>
      </w:r>
      <w:r>
        <w:rPr>
          <w:rStyle w:val="af"/>
          <w:sz w:val="28"/>
          <w:szCs w:val="28"/>
        </w:rPr>
        <w:footnoteReference w:id="2"/>
      </w:r>
      <w:r>
        <w:rPr>
          <w:sz w:val="28"/>
          <w:szCs w:val="28"/>
        </w:rPr>
        <w:t>, СЗВ-ИСХ</w:t>
      </w:r>
      <w:r>
        <w:rPr>
          <w:rStyle w:val="af"/>
          <w:sz w:val="28"/>
          <w:szCs w:val="28"/>
        </w:rPr>
        <w:footnoteReference w:id="3"/>
      </w:r>
      <w:r>
        <w:rPr>
          <w:sz w:val="28"/>
          <w:szCs w:val="28"/>
        </w:rPr>
        <w:t>, СЗВ-СТАЖ</w:t>
      </w:r>
      <w:r>
        <w:rPr>
          <w:rStyle w:val="af"/>
          <w:sz w:val="28"/>
          <w:szCs w:val="28"/>
        </w:rPr>
        <w:footnoteReference w:id="4"/>
      </w:r>
      <w:r>
        <w:rPr>
          <w:sz w:val="28"/>
          <w:szCs w:val="28"/>
        </w:rPr>
        <w:t>, СЗВ-ДСО</w:t>
      </w:r>
      <w:r>
        <w:rPr>
          <w:rStyle w:val="af"/>
          <w:sz w:val="28"/>
          <w:szCs w:val="28"/>
        </w:rPr>
        <w:footnoteReference w:id="5"/>
      </w:r>
      <w:r>
        <w:rPr>
          <w:sz w:val="28"/>
          <w:szCs w:val="28"/>
        </w:rPr>
        <w:t>, ОДВ-1</w:t>
      </w:r>
      <w:r>
        <w:rPr>
          <w:rStyle w:val="af"/>
          <w:sz w:val="28"/>
          <w:szCs w:val="28"/>
        </w:rPr>
        <w:footnoteReference w:id="6"/>
      </w:r>
      <w:r>
        <w:rPr>
          <w:sz w:val="28"/>
          <w:szCs w:val="28"/>
        </w:rPr>
        <w:t>, СЗВ-М</w:t>
      </w:r>
      <w:r>
        <w:rPr>
          <w:rStyle w:val="af"/>
          <w:sz w:val="28"/>
          <w:szCs w:val="28"/>
        </w:rPr>
        <w:footnoteReference w:id="7"/>
      </w:r>
      <w:r>
        <w:rPr>
          <w:sz w:val="28"/>
          <w:szCs w:val="28"/>
        </w:rPr>
        <w:t>, СЗВ-ТД</w:t>
      </w:r>
      <w:r>
        <w:rPr>
          <w:rStyle w:val="af"/>
          <w:sz w:val="28"/>
          <w:szCs w:val="28"/>
        </w:rPr>
        <w:footnoteReference w:id="8"/>
      </w:r>
      <w:r>
        <w:rPr>
          <w:sz w:val="28"/>
          <w:szCs w:val="28"/>
        </w:rPr>
        <w:t xml:space="preserve"> и ЕФС-1</w:t>
      </w:r>
      <w:r>
        <w:rPr>
          <w:rStyle w:val="af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ссылке «Сформировать проект отчетности» (</w:t>
      </w:r>
      <w:hyperlink r:id="rId9" w:history="1">
        <w:r>
          <w:rPr>
            <w:rStyle w:val="af0"/>
            <w:sz w:val="28"/>
            <w:szCs w:val="28"/>
          </w:rPr>
          <w:t>https://ecp.sfr.gov.ru/site/reports/efs-1</w:t>
        </w:r>
      </w:hyperlink>
      <w:r>
        <w:rPr>
          <w:sz w:val="28"/>
          <w:szCs w:val="28"/>
        </w:rPr>
        <w:t>) будет реализована возможность ввести данные и сформировать проект отчетности по форме ЕФС-1.</w:t>
      </w:r>
    </w:p>
    <w:p>
      <w:pPr>
        <w:ind w:firstLine="567"/>
        <w:jc w:val="both"/>
        <w:rPr>
          <w:sz w:val="28"/>
          <w:szCs w:val="28"/>
        </w:rPr>
      </w:pP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инструкция.</w:t>
      </w:r>
      <w:bookmarkStart w:id="0" w:name="_GoBack"/>
      <w:bookmarkEnd w:id="0"/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p>
      <w:pPr>
        <w:widowControl/>
        <w:shd w:val="clear" w:color="auto" w:fill="FFFFFF"/>
        <w:ind w:firstLine="567"/>
        <w:jc w:val="both"/>
        <w:rPr>
          <w:iCs/>
          <w:color w:val="auto"/>
          <w:spacing w:val="3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d"/>
      </w:pPr>
      <w:r>
        <w:rPr>
          <w:rStyle w:val="af"/>
        </w:rPr>
        <w:footnoteRef/>
      </w:r>
      <w:r>
        <w:t xml:space="preserve"> Государственная информационная система «Единая централизованная цифровая платформа в социальной сфере».</w:t>
      </w:r>
    </w:p>
  </w:footnote>
  <w:footnote w:id="2">
    <w:p>
      <w:pPr>
        <w:pStyle w:val="ad"/>
        <w:jc w:val="both"/>
      </w:pPr>
      <w:r>
        <w:rPr>
          <w:rStyle w:val="af"/>
        </w:rPr>
        <w:footnoteRef/>
      </w:r>
      <w:r>
        <w:t xml:space="preserve"> Данные о корректировке сведений, учтенных на индивидуальном лицевом счете застрахованного лица.</w:t>
      </w:r>
    </w:p>
  </w:footnote>
  <w:footnote w:id="3">
    <w:p>
      <w:pPr>
        <w:pStyle w:val="ad"/>
        <w:jc w:val="both"/>
      </w:pPr>
      <w:r>
        <w:rPr>
          <w:rStyle w:val="af"/>
        </w:rPr>
        <w:footnoteRef/>
      </w:r>
      <w:r>
        <w:t xml:space="preserve"> Сведения о заработке (вознаграждении), доходе, сумме выплат и иных вознаграждений, начисленных и уплаченных страховых взносах, о периодах трудовой и иной деятельности, засчитываемых в страховой стаж застрахованного лица.</w:t>
      </w:r>
    </w:p>
  </w:footnote>
  <w:footnote w:id="4">
    <w:p>
      <w:pPr>
        <w:pStyle w:val="ad"/>
        <w:jc w:val="both"/>
      </w:pPr>
      <w:r>
        <w:rPr>
          <w:rStyle w:val="af"/>
        </w:rPr>
        <w:footnoteRef/>
      </w:r>
      <w:r>
        <w:t xml:space="preserve"> Сведения о страховом стаже застрахованных лиц.</w:t>
      </w:r>
    </w:p>
  </w:footnote>
  <w:footnote w:id="5">
    <w:p>
      <w:pPr>
        <w:pStyle w:val="ad"/>
        <w:jc w:val="both"/>
      </w:pPr>
      <w:r>
        <w:rPr>
          <w:rStyle w:val="af"/>
        </w:rPr>
        <w:footnoteRef/>
      </w:r>
      <w:r>
        <w:t xml:space="preserve"> Сведения о периодах работы, дающей право на ежемесячную доплату к пенсии, и сумме заработка, из которого исчисляется размер ежемесячной доплаты к пенсии застрахованного лица.</w:t>
      </w:r>
    </w:p>
  </w:footnote>
  <w:footnote w:id="6">
    <w:p>
      <w:pPr>
        <w:pStyle w:val="ad"/>
        <w:jc w:val="both"/>
      </w:pPr>
      <w:r>
        <w:rPr>
          <w:rStyle w:val="af"/>
        </w:rPr>
        <w:footnoteRef/>
      </w:r>
      <w:r>
        <w:t xml:space="preserve"> Сведения по страхователю, передаваемые в ПФР для ведения индивидуального (персонифицированного) учета.</w:t>
      </w:r>
    </w:p>
  </w:footnote>
  <w:footnote w:id="7">
    <w:p>
      <w:pPr>
        <w:pStyle w:val="ad"/>
      </w:pPr>
      <w:r>
        <w:rPr>
          <w:rStyle w:val="af"/>
        </w:rPr>
        <w:footnoteRef/>
      </w:r>
      <w:r>
        <w:t xml:space="preserve"> Сведения о застрахованных лицах.</w:t>
      </w:r>
    </w:p>
  </w:footnote>
  <w:footnote w:id="8">
    <w:p>
      <w:pPr>
        <w:pStyle w:val="ad"/>
      </w:pPr>
      <w:r>
        <w:rPr>
          <w:rStyle w:val="af"/>
        </w:rPr>
        <w:footnoteRef/>
      </w:r>
      <w:r>
        <w:t xml:space="preserve"> Сведения о трудовой деятельности зарегистрированного лица.</w:t>
      </w:r>
    </w:p>
  </w:footnote>
  <w:footnote w:id="9">
    <w:p>
      <w:pPr>
        <w:pStyle w:val="ad"/>
      </w:pPr>
      <w:r>
        <w:rPr>
          <w:rStyle w:val="af"/>
        </w:rPr>
        <w:footnoteRef/>
      </w:r>
      <w:r>
        <w:t xml:space="preserve">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910"/>
    <w:multiLevelType w:val="multilevel"/>
    <w:tmpl w:val="927A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70A20"/>
    <w:multiLevelType w:val="multilevel"/>
    <w:tmpl w:val="2B4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604E8"/>
    <w:multiLevelType w:val="hybridMultilevel"/>
    <w:tmpl w:val="B0D459D2"/>
    <w:lvl w:ilvl="0" w:tplc="C324C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6930EE"/>
    <w:multiLevelType w:val="multilevel"/>
    <w:tmpl w:val="96F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tabs>
        <w:tab w:val="left" w:pos="2505"/>
        <w:tab w:val="left" w:pos="690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505"/>
      </w:tabs>
      <w:spacing w:line="360" w:lineRule="auto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basedOn w:val="a"/>
    <w:next w:val="a"/>
    <w:link w:val="40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i/>
      <w:sz w:val="24"/>
    </w:rPr>
  </w:style>
  <w:style w:type="character" w:customStyle="1" w:styleId="30">
    <w:name w:val="Заголовок 3 Знак"/>
    <w:basedOn w:val="a0"/>
    <w:link w:val="3"/>
    <w:rPr>
      <w:rFonts w:ascii="XO Thames" w:hAnsi="XO Thames"/>
      <w:b/>
      <w:i/>
      <w:sz w:val="24"/>
    </w:rPr>
  </w:style>
  <w:style w:type="character" w:customStyle="1" w:styleId="40">
    <w:name w:val="Заголовок 4 Знак"/>
    <w:basedOn w:val="a0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rPr>
      <w:rFonts w:ascii="XO Thames" w:hAnsi="XO Thames"/>
      <w:b/>
      <w:sz w:val="22"/>
    </w:r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Pr>
      <w:rFonts w:ascii="Arial" w:hAnsi="Arial"/>
      <w:sz w:val="28"/>
    </w:rPr>
  </w:style>
  <w:style w:type="paragraph" w:styleId="a5">
    <w:name w:val="Subtitle"/>
    <w:basedOn w:val="a"/>
    <w:next w:val="a"/>
    <w:link w:val="a6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basedOn w:val="a0"/>
    <w:link w:val="a5"/>
    <w:rPr>
      <w:rFonts w:ascii="XO Thames" w:hAnsi="XO Thames"/>
      <w:i/>
      <w:color w:val="616161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qFormat/>
    <w:rPr>
      <w:i/>
      <w:iCs/>
    </w:rPr>
  </w:style>
  <w:style w:type="paragraph" w:styleId="a9">
    <w:name w:val="No Spacing"/>
    <w:link w:val="aa"/>
    <w:qFormat/>
    <w:pPr>
      <w:widowControl/>
      <w:suppressAutoHyphens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aa">
    <w:name w:val="Без интервала Знак"/>
    <w:link w:val="a9"/>
    <w:rPr>
      <w:rFonts w:ascii="Calibri" w:eastAsia="Calibri" w:hAnsi="Calibri"/>
      <w:color w:val="auto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pPr>
      <w:widowControl/>
      <w:spacing w:line="276" w:lineRule="auto"/>
      <w:ind w:left="720"/>
      <w:contextualSpacing/>
    </w:pPr>
    <w:rPr>
      <w:rFonts w:ascii="XO Thames" w:hAnsi="XO Thames"/>
      <w:sz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widowControl/>
    </w:pPr>
    <w:rPr>
      <w:color w:val="auto"/>
    </w:rPr>
  </w:style>
  <w:style w:type="character" w:customStyle="1" w:styleId="ae">
    <w:name w:val="Текст сноски Знак"/>
    <w:basedOn w:val="a0"/>
    <w:link w:val="ad"/>
    <w:uiPriority w:val="99"/>
    <w:semiHidden/>
    <w:rPr>
      <w:color w:val="auto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tabs>
        <w:tab w:val="left" w:pos="2505"/>
        <w:tab w:val="left" w:pos="690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505"/>
      </w:tabs>
      <w:spacing w:line="360" w:lineRule="auto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basedOn w:val="a"/>
    <w:next w:val="a"/>
    <w:link w:val="40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i/>
      <w:sz w:val="24"/>
    </w:rPr>
  </w:style>
  <w:style w:type="character" w:customStyle="1" w:styleId="30">
    <w:name w:val="Заголовок 3 Знак"/>
    <w:basedOn w:val="a0"/>
    <w:link w:val="3"/>
    <w:rPr>
      <w:rFonts w:ascii="XO Thames" w:hAnsi="XO Thames"/>
      <w:b/>
      <w:i/>
      <w:sz w:val="24"/>
    </w:rPr>
  </w:style>
  <w:style w:type="character" w:customStyle="1" w:styleId="40">
    <w:name w:val="Заголовок 4 Знак"/>
    <w:basedOn w:val="a0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rPr>
      <w:rFonts w:ascii="XO Thames" w:hAnsi="XO Thames"/>
      <w:b/>
      <w:sz w:val="22"/>
    </w:r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Pr>
      <w:rFonts w:ascii="Arial" w:hAnsi="Arial"/>
      <w:sz w:val="28"/>
    </w:rPr>
  </w:style>
  <w:style w:type="paragraph" w:styleId="a5">
    <w:name w:val="Subtitle"/>
    <w:basedOn w:val="a"/>
    <w:next w:val="a"/>
    <w:link w:val="a6"/>
    <w:qFormat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basedOn w:val="a0"/>
    <w:link w:val="a5"/>
    <w:rPr>
      <w:rFonts w:ascii="XO Thames" w:hAnsi="XO Thames"/>
      <w:i/>
      <w:color w:val="616161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qFormat/>
    <w:rPr>
      <w:i/>
      <w:iCs/>
    </w:rPr>
  </w:style>
  <w:style w:type="paragraph" w:styleId="a9">
    <w:name w:val="No Spacing"/>
    <w:link w:val="aa"/>
    <w:qFormat/>
    <w:pPr>
      <w:widowControl/>
      <w:suppressAutoHyphens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aa">
    <w:name w:val="Без интервала Знак"/>
    <w:link w:val="a9"/>
    <w:rPr>
      <w:rFonts w:ascii="Calibri" w:eastAsia="Calibri" w:hAnsi="Calibri"/>
      <w:color w:val="auto"/>
      <w:sz w:val="22"/>
      <w:szCs w:val="22"/>
      <w:lang w:eastAsia="ar-SA"/>
    </w:rPr>
  </w:style>
  <w:style w:type="paragraph" w:styleId="ab">
    <w:name w:val="List Paragraph"/>
    <w:basedOn w:val="a"/>
    <w:uiPriority w:val="34"/>
    <w:qFormat/>
    <w:pPr>
      <w:widowControl/>
      <w:spacing w:line="276" w:lineRule="auto"/>
      <w:ind w:left="720"/>
      <w:contextualSpacing/>
    </w:pPr>
    <w:rPr>
      <w:rFonts w:ascii="XO Thames" w:hAnsi="XO Thames"/>
      <w:sz w:val="24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widowControl/>
    </w:pPr>
    <w:rPr>
      <w:color w:val="auto"/>
    </w:rPr>
  </w:style>
  <w:style w:type="character" w:customStyle="1" w:styleId="ae">
    <w:name w:val="Текст сноски Знак"/>
    <w:basedOn w:val="a0"/>
    <w:link w:val="ad"/>
    <w:uiPriority w:val="99"/>
    <w:semiHidden/>
    <w:rPr>
      <w:color w:val="auto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p.sfr.gov.ru/site/load-draft-repo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p.sfr.gov.ru/site/reports/ef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Александр Владимирович</dc:creator>
  <cp:lastModifiedBy>Мисюра Ирина Григорьевна</cp:lastModifiedBy>
  <cp:revision>2</cp:revision>
  <dcterms:created xsi:type="dcterms:W3CDTF">2026-04-13T10:41:00Z</dcterms:created>
  <dcterms:modified xsi:type="dcterms:W3CDTF">2026-04-13T10:41:00Z</dcterms:modified>
</cp:coreProperties>
</file>