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7" w:rsidRPr="005E3A07" w:rsidRDefault="00D064A7" w:rsidP="00552986">
      <w:pPr>
        <w:autoSpaceDE w:val="0"/>
        <w:autoSpaceDN w:val="0"/>
        <w:adjustRightInd w:val="0"/>
        <w:jc w:val="center"/>
        <w:rPr>
          <w:b/>
        </w:rPr>
      </w:pPr>
      <w:r w:rsidRPr="005E3A07">
        <w:rPr>
          <w:b/>
        </w:rPr>
        <w:t xml:space="preserve">СОГЛАШЕНИЕ </w:t>
      </w:r>
    </w:p>
    <w:p w:rsidR="00D064A7" w:rsidRDefault="00D064A7" w:rsidP="00D064A7">
      <w:pPr>
        <w:autoSpaceDE w:val="0"/>
        <w:autoSpaceDN w:val="0"/>
        <w:adjustRightInd w:val="0"/>
        <w:jc w:val="center"/>
      </w:pPr>
      <w:r>
        <w:t>ОБ ОБМЕНЕ ЭЛЕКТРОННЫМИ ДОКУМЕНТАМИ В СИСТЕМЕ ЭЛЕКТРОННОГО</w:t>
      </w:r>
    </w:p>
    <w:p w:rsidR="00D064A7" w:rsidRDefault="00D064A7" w:rsidP="00D064A7">
      <w:pPr>
        <w:autoSpaceDE w:val="0"/>
        <w:autoSpaceDN w:val="0"/>
        <w:adjustRightInd w:val="0"/>
        <w:jc w:val="center"/>
      </w:pPr>
      <w:r>
        <w:t>ДОКУМЕНТООБОРОТА ПФР ПО ТЕЛЕКОММУНИКАЦИОННЫМ</w:t>
      </w:r>
    </w:p>
    <w:p w:rsidR="00D064A7" w:rsidRDefault="00D064A7" w:rsidP="00D064A7">
      <w:pPr>
        <w:autoSpaceDE w:val="0"/>
        <w:autoSpaceDN w:val="0"/>
        <w:adjustRightInd w:val="0"/>
        <w:jc w:val="center"/>
      </w:pPr>
      <w:r>
        <w:t>КАНАЛАМ СВЯЗИ</w:t>
      </w:r>
    </w:p>
    <w:p w:rsidR="00D064A7" w:rsidRDefault="00D064A7" w:rsidP="00D064A7">
      <w:pPr>
        <w:autoSpaceDE w:val="0"/>
        <w:autoSpaceDN w:val="0"/>
        <w:adjustRightInd w:val="0"/>
        <w:jc w:val="center"/>
      </w:pPr>
    </w:p>
    <w:p w:rsidR="00D064A7" w:rsidRDefault="00D064A7" w:rsidP="00D064A7">
      <w:pPr>
        <w:autoSpaceDE w:val="0"/>
        <w:autoSpaceDN w:val="0"/>
        <w:adjustRightInd w:val="0"/>
        <w:ind w:firstLine="540"/>
        <w:jc w:val="both"/>
      </w:pPr>
    </w:p>
    <w:p w:rsidR="005E3A07" w:rsidRDefault="005E3A07" w:rsidP="00D064A7">
      <w:pPr>
        <w:autoSpaceDE w:val="0"/>
        <w:autoSpaceDN w:val="0"/>
        <w:adjustRightInd w:val="0"/>
        <w:ind w:firstLine="540"/>
        <w:jc w:val="both"/>
      </w:pPr>
    </w:p>
    <w:p w:rsidR="00D064A7" w:rsidRPr="0082561F" w:rsidRDefault="00D064A7" w:rsidP="00D064A7">
      <w:pPr>
        <w:rPr>
          <w:color w:val="000000"/>
        </w:rPr>
      </w:pPr>
      <w:r w:rsidRPr="0082561F">
        <w:rPr>
          <w:color w:val="000000"/>
        </w:rPr>
        <w:t>г.</w:t>
      </w:r>
      <w:r>
        <w:rPr>
          <w:color w:val="000000"/>
        </w:rPr>
        <w:t xml:space="preserve"> </w:t>
      </w:r>
      <w:r w:rsidR="003F5CC6">
        <w:rPr>
          <w:color w:val="000000"/>
        </w:rPr>
        <w:t>______________________</w:t>
      </w:r>
      <w:r w:rsidRPr="0082561F">
        <w:rPr>
          <w:color w:val="000000"/>
        </w:rPr>
        <w:tab/>
      </w:r>
      <w:r w:rsidRPr="0082561F">
        <w:rPr>
          <w:color w:val="000000"/>
        </w:rPr>
        <w:tab/>
      </w:r>
      <w:r w:rsidRPr="0082561F">
        <w:rPr>
          <w:color w:val="000000"/>
        </w:rPr>
        <w:tab/>
      </w:r>
      <w:r w:rsidRPr="0082561F">
        <w:rPr>
          <w:color w:val="000000"/>
        </w:rPr>
        <w:tab/>
      </w:r>
      <w:r w:rsidRPr="0082561F">
        <w:rPr>
          <w:color w:val="000000"/>
        </w:rPr>
        <w:tab/>
      </w:r>
      <w:r w:rsidRPr="0082561F">
        <w:rPr>
          <w:color w:val="000000"/>
        </w:rPr>
        <w:tab/>
      </w:r>
      <w:r w:rsidR="00BD379E">
        <w:rPr>
          <w:color w:val="000000"/>
        </w:rPr>
        <w:t>«</w:t>
      </w:r>
      <w:r w:rsidRPr="0082561F">
        <w:rPr>
          <w:color w:val="000000"/>
        </w:rPr>
        <w:t>___</w:t>
      </w:r>
      <w:r w:rsidR="00BD379E">
        <w:rPr>
          <w:color w:val="000000"/>
        </w:rPr>
        <w:t>»</w:t>
      </w:r>
      <w:r w:rsidRPr="0082561F">
        <w:rPr>
          <w:color w:val="000000"/>
        </w:rPr>
        <w:t>____</w:t>
      </w:r>
      <w:r>
        <w:rPr>
          <w:color w:val="000000"/>
        </w:rPr>
        <w:t>__</w:t>
      </w:r>
      <w:r w:rsidRPr="0082561F">
        <w:rPr>
          <w:color w:val="000000"/>
        </w:rPr>
        <w:t>_</w:t>
      </w:r>
      <w:r w:rsidR="009C02BA">
        <w:rPr>
          <w:color w:val="000000"/>
        </w:rPr>
        <w:t>20</w:t>
      </w:r>
      <w:r w:rsidR="00BD379E">
        <w:rPr>
          <w:color w:val="000000"/>
        </w:rPr>
        <w:t>____</w:t>
      </w:r>
      <w:r w:rsidR="00DD57BD">
        <w:rPr>
          <w:color w:val="000000"/>
        </w:rPr>
        <w:t xml:space="preserve"> </w:t>
      </w:r>
      <w:r w:rsidRPr="0082561F">
        <w:rPr>
          <w:color w:val="000000"/>
        </w:rPr>
        <w:t xml:space="preserve"> г.</w:t>
      </w:r>
    </w:p>
    <w:p w:rsidR="00D064A7" w:rsidRDefault="00D064A7" w:rsidP="00D064A7">
      <w:pPr>
        <w:rPr>
          <w:color w:val="000000"/>
        </w:rPr>
      </w:pPr>
    </w:p>
    <w:p w:rsidR="005B427A" w:rsidRPr="0082561F" w:rsidRDefault="005B427A" w:rsidP="005B427A">
      <w:pPr>
        <w:rPr>
          <w:color w:val="000000"/>
        </w:rPr>
      </w:pPr>
    </w:p>
    <w:p w:rsidR="009C02BA" w:rsidRDefault="009C02BA" w:rsidP="009C02BA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-2"/>
        </w:rPr>
        <w:t xml:space="preserve">Государственное учреждение - Управление Пенсионного Фонда Российской Федерации </w:t>
      </w:r>
      <w:proofErr w:type="gramStart"/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_____________________________________________________</w:t>
      </w:r>
      <w:proofErr w:type="gramStart"/>
      <w:r>
        <w:rPr>
          <w:color w:val="000000"/>
          <w:spacing w:val="-2"/>
        </w:rPr>
        <w:t>Камчатского</w:t>
      </w:r>
      <w:proofErr w:type="gramEnd"/>
      <w:r>
        <w:rPr>
          <w:color w:val="000000"/>
          <w:spacing w:val="-2"/>
        </w:rPr>
        <w:t xml:space="preserve"> края (межрайонное)</w:t>
      </w:r>
      <w:r w:rsidRPr="003E31CF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далее по тексту - Управление ПФР), в лице начальника Управления ПФР _____________________________,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</w:rPr>
        <w:t xml:space="preserve">действующего на основании </w:t>
      </w:r>
      <w:r>
        <w:rPr>
          <w:color w:val="000000"/>
          <w:spacing w:val="-5"/>
        </w:rPr>
        <w:t xml:space="preserve">Положения, с одной </w:t>
      </w:r>
      <w:r>
        <w:rPr>
          <w:color w:val="000000"/>
          <w:spacing w:val="1"/>
        </w:rPr>
        <w:t>стороны и</w:t>
      </w:r>
    </w:p>
    <w:p w:rsidR="009C02BA" w:rsidRDefault="009C02BA" w:rsidP="009C02BA">
      <w:pPr>
        <w:jc w:val="center"/>
        <w:rPr>
          <w:color w:val="000000"/>
          <w:spacing w:val="-1"/>
        </w:rPr>
      </w:pPr>
      <w:r>
        <w:rPr>
          <w:color w:val="000000"/>
          <w:spacing w:val="1"/>
        </w:rPr>
        <w:t>_____________________________________________________________________________</w:t>
      </w:r>
      <w:r w:rsidR="005414F0">
        <w:rPr>
          <w:color w:val="000000"/>
          <w:spacing w:val="1"/>
        </w:rPr>
        <w:t xml:space="preserve">__ </w:t>
      </w:r>
      <w:r>
        <w:rPr>
          <w:color w:val="000000"/>
          <w:spacing w:val="1"/>
          <w:vertAlign w:val="subscript"/>
        </w:rPr>
        <w:t>(указывается полное наименование страхователя и регистрационный номер в территориальных органах ПФР</w:t>
      </w:r>
      <w:r>
        <w:rPr>
          <w:color w:val="000000"/>
          <w:spacing w:val="1"/>
        </w:rPr>
        <w:t>)</w:t>
      </w:r>
      <w:r>
        <w:rPr>
          <w:color w:val="000000"/>
          <w:spacing w:val="-1"/>
        </w:rPr>
        <w:t>,</w:t>
      </w:r>
    </w:p>
    <w:p w:rsidR="009C02BA" w:rsidRDefault="009C02BA" w:rsidP="009C02BA">
      <w:pPr>
        <w:jc w:val="both"/>
        <w:rPr>
          <w:color w:val="000000"/>
        </w:rPr>
      </w:pPr>
      <w:r>
        <w:rPr>
          <w:color w:val="000000"/>
          <w:spacing w:val="-1"/>
        </w:rPr>
        <w:t xml:space="preserve"> в лице _______________________________________________________________________,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</w:t>
      </w:r>
      <w:r>
        <w:rPr>
          <w:color w:val="000000"/>
          <w:spacing w:val="1"/>
        </w:rPr>
        <w:t xml:space="preserve">основании ________________________, именуемый в дальнейшем «Абонент </w:t>
      </w:r>
      <w:r>
        <w:rPr>
          <w:color w:val="000000"/>
          <w:spacing w:val="-4"/>
        </w:rPr>
        <w:t>системы», с другой стороны, заключили настоящее Соглашение о нижеследующем:</w:t>
      </w:r>
    </w:p>
    <w:p w:rsidR="00D064A7" w:rsidRDefault="00D064A7" w:rsidP="00D064A7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1. ПРЕДМЕТ СОГЛАШЕНИЯ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spacing w:before="96"/>
        <w:ind w:firstLine="540"/>
        <w:jc w:val="both"/>
      </w:pPr>
      <w:r w:rsidRPr="006C6527">
        <w:t xml:space="preserve">1.1. </w:t>
      </w:r>
      <w:r w:rsidR="00857ADD">
        <w:rPr>
          <w:spacing w:val="-1"/>
        </w:rPr>
        <w:t>Управление</w:t>
      </w:r>
      <w:r w:rsidRPr="006C6527">
        <w:rPr>
          <w:spacing w:val="-1"/>
        </w:rPr>
        <w:t xml:space="preserve"> ПФР и Абонент Системы осуществляют обмен документами </w:t>
      </w:r>
      <w:r w:rsidRPr="006C6527">
        <w:t xml:space="preserve">в электронном виде в рамках системы защищенного электронного документооборота  ПФР по телекоммуникационным каналам связи </w:t>
      </w:r>
      <w:r w:rsidRPr="006C6527">
        <w:rPr>
          <w:spacing w:val="-2"/>
        </w:rPr>
        <w:t xml:space="preserve"> (далее  Система).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1.2. Стороны признают, что полученные ими электронные документы, заверенные </w:t>
      </w:r>
      <w:r w:rsidRPr="002E184E">
        <w:rPr>
          <w:color w:val="000000"/>
        </w:rPr>
        <w:t>усиленной квалифицированной</w:t>
      </w:r>
      <w:r>
        <w:t xml:space="preserve"> </w:t>
      </w:r>
      <w:r w:rsidRPr="006C6527">
        <w:t>электронной подписью (далее ЭП)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1.3. Стороны признают, что использование в Системе средств криптографической защиты информации (далее СКЗИ), которые реализуют шифрование и ЭП,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информации, а также для подтверждения того, что: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электронный документ исходит от Стороны, его передавшей (подтверждение авторства документа);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электронный документ не претерпе</w:t>
      </w:r>
      <w:bookmarkStart w:id="0" w:name="_GoBack"/>
      <w:bookmarkEnd w:id="0"/>
      <w:r w:rsidRPr="006C6527">
        <w:t>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фактом доставки (представления) электронного документа является формирование принимающей Стороной квитанции о доставке электронного документа.</w:t>
      </w:r>
    </w:p>
    <w:p w:rsidR="005B427A" w:rsidRPr="006E01AA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1.4. Для работы в Системе Стороны руководствуются действующим законодательством Российской Федерации, нормативными актами ПФР.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1.5. Настоящее Соглашение является безвозмездным.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2. ТЕХНИЧЕСКИЕ УСЛОВИЯ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2.1. Абонент Системы за свой счет приобретает, устанавливает и обеспечивает работоспособность программного обеспечения, СКЗИ и ЭП, необходимых для подключения к Системе.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2.2. Абонент Системы оплачивает средства связи и каналы связи, необходимые для работы в Системе.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2.3. Изготовление и сертификацию ключей шифрования и ЭП для Абонента Системы осуществляет один из поставщиков услуг аккредитованного Удостоверяющего Центра (УЦ).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5B427A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3. ПОРЯДОК ОСУЩЕСТВЛЕНИЯ ОБМЕНА ЭЛЕКТРОННЫМИ ДОКУМЕНТАМИ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Default="005B427A" w:rsidP="00921439">
      <w:pPr>
        <w:autoSpaceDE w:val="0"/>
        <w:autoSpaceDN w:val="0"/>
        <w:adjustRightInd w:val="0"/>
        <w:jc w:val="both"/>
        <w:rPr>
          <w:bCs/>
        </w:rPr>
      </w:pPr>
      <w:r w:rsidRPr="006C6527">
        <w:t xml:space="preserve">3.1. </w:t>
      </w:r>
      <w:proofErr w:type="gramStart"/>
      <w:r w:rsidRPr="006C6527">
        <w:t xml:space="preserve">Каждая Сторона имеет право в электронной форме передавать другой Стороне  и получать от другой Стороны электронные документы </w:t>
      </w:r>
      <w:r w:rsidRPr="006C6527">
        <w:rPr>
          <w:spacing w:val="-1"/>
        </w:rPr>
        <w:t xml:space="preserve">в соответствии с </w:t>
      </w:r>
      <w:r w:rsidRPr="006C6527">
        <w:t xml:space="preserve">Федеральным законом от 01.04.96 № 27-ФЗ «Об индивидуальном (персонифицированном) учете </w:t>
      </w:r>
      <w:r w:rsidRPr="006C6527">
        <w:rPr>
          <w:spacing w:val="-4"/>
        </w:rPr>
        <w:t xml:space="preserve">в системе  обязательного  пенсионного  страхования»,  </w:t>
      </w:r>
      <w:r w:rsidRPr="006C6527">
        <w:rPr>
          <w:bCs/>
        </w:rPr>
        <w:t xml:space="preserve">Федеральным  законом от 30.04.2008 № 56-ФЗ «О дополнительных страховых взносах на </w:t>
      </w:r>
      <w:r w:rsidRPr="006C6527">
        <w:t xml:space="preserve">накопительную часть трудовой пенсии и государственной поддержке формирования пенсионных накоплений», </w:t>
      </w:r>
      <w:r w:rsidRPr="006C6527">
        <w:rPr>
          <w:bCs/>
        </w:rPr>
        <w:t>Федеральным законом от 24.07.2009 № 212-ФЗ «О</w:t>
      </w:r>
      <w:proofErr w:type="gramEnd"/>
      <w:r w:rsidRPr="006C6527">
        <w:rPr>
          <w:bCs/>
        </w:rPr>
        <w:t xml:space="preserve">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</w:t>
      </w:r>
      <w:r w:rsidRPr="006C6527">
        <w:t xml:space="preserve">Федеральным законом от 28.12.2013  </w:t>
      </w:r>
      <w:r w:rsidR="00857ADD">
        <w:t>№</w:t>
      </w:r>
      <w:r w:rsidRPr="006C6527">
        <w:t xml:space="preserve"> 400-ФЗ  </w:t>
      </w:r>
      <w:r w:rsidR="00134256">
        <w:t>«</w:t>
      </w:r>
      <w:r w:rsidRPr="006C6527">
        <w:t>О   страховых   пенсиях</w:t>
      </w:r>
      <w:r w:rsidR="00134256">
        <w:t>»</w:t>
      </w:r>
      <w:r w:rsidRPr="006C6527">
        <w:t xml:space="preserve">,  </w:t>
      </w:r>
      <w:r w:rsidR="007E1C85">
        <w:t xml:space="preserve">Федеральным законом от </w:t>
      </w:r>
      <w:r w:rsidR="007E1C85">
        <w:rPr>
          <w:color w:val="000000"/>
          <w:spacing w:val="-4"/>
        </w:rPr>
        <w:t>28.12.2013 № 424</w:t>
      </w:r>
      <w:r w:rsidR="00FF03A4" w:rsidRPr="00FF03A4">
        <w:rPr>
          <w:color w:val="000000"/>
          <w:spacing w:val="-4"/>
        </w:rPr>
        <w:t>-</w:t>
      </w:r>
      <w:r w:rsidR="00FF03A4">
        <w:rPr>
          <w:color w:val="000000"/>
          <w:spacing w:val="-4"/>
        </w:rPr>
        <w:t>ФЗ</w:t>
      </w:r>
      <w:r w:rsidR="007E1C85">
        <w:rPr>
          <w:color w:val="000000"/>
          <w:spacing w:val="-4"/>
        </w:rPr>
        <w:t xml:space="preserve"> «О накопительных пенсиях</w:t>
      </w:r>
      <w:r w:rsidR="007E1C85" w:rsidRPr="00C142F2">
        <w:t xml:space="preserve">», </w:t>
      </w:r>
      <w:hyperlink r:id="rId6" w:history="1">
        <w:r w:rsidR="00C142F2" w:rsidRPr="00C142F2">
          <w:t>закон</w:t>
        </w:r>
      </w:hyperlink>
      <w:r w:rsidR="00C142F2" w:rsidRPr="00C142F2">
        <w:t xml:space="preserve"> Российской Федерации от 19 апреля 1991 года </w:t>
      </w:r>
      <w:r w:rsidR="005309DC">
        <w:t>№</w:t>
      </w:r>
      <w:r w:rsidR="00C142F2" w:rsidRPr="00C142F2">
        <w:t xml:space="preserve"> 1032-1 </w:t>
      </w:r>
      <w:r w:rsidR="00C142F2">
        <w:t>«</w:t>
      </w:r>
      <w:r w:rsidR="00C142F2" w:rsidRPr="00C142F2">
        <w:t>О занятости н</w:t>
      </w:r>
      <w:r w:rsidR="00C142F2">
        <w:t>аселения в Российской Федерации»,</w:t>
      </w:r>
      <w:r w:rsidR="00921439">
        <w:t xml:space="preserve"> статьей 185.1 Трудового</w:t>
      </w:r>
      <w:r w:rsidR="000C47F9">
        <w:t xml:space="preserve"> </w:t>
      </w:r>
      <w:hyperlink r:id="rId7" w:history="1">
        <w:proofErr w:type="gramStart"/>
        <w:r w:rsidR="00921439" w:rsidRPr="00921439">
          <w:t>кодекс</w:t>
        </w:r>
        <w:proofErr w:type="gramEnd"/>
      </w:hyperlink>
      <w:r w:rsidR="00921439">
        <w:t>а Российской Федерации</w:t>
      </w:r>
      <w:r w:rsidR="007E1C85">
        <w:t>,</w:t>
      </w:r>
      <w:r w:rsidRPr="006C6527">
        <w:t xml:space="preserve"> </w:t>
      </w:r>
      <w:r w:rsidR="00A41696">
        <w:rPr>
          <w:color w:val="000000"/>
          <w:spacing w:val="-4"/>
        </w:rPr>
        <w:t>Постановлением от 23.01.2019 № 16п «</w:t>
      </w:r>
      <w:r w:rsidR="00A41696">
        <w:t xml:space="preserve">Об </w:t>
      </w:r>
      <w:proofErr w:type="gramStart"/>
      <w:r w:rsidR="00A41696">
        <w:t>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обеспечению»</w:t>
      </w:r>
      <w:r w:rsidR="000C47F9">
        <w:t xml:space="preserve">, </w:t>
      </w:r>
      <w:r w:rsidR="000C47F9">
        <w:rPr>
          <w:sz w:val="22"/>
          <w:szCs w:val="22"/>
        </w:rPr>
        <w:t>Постановление</w:t>
      </w:r>
      <w:r w:rsidR="000C47F9">
        <w:rPr>
          <w:sz w:val="22"/>
          <w:szCs w:val="22"/>
        </w:rPr>
        <w:t>м</w:t>
      </w:r>
      <w:r w:rsidR="000C47F9">
        <w:rPr>
          <w:sz w:val="22"/>
          <w:szCs w:val="22"/>
        </w:rPr>
        <w:t xml:space="preserve"> Правления ПФ РФ от 19.02.2020 </w:t>
      </w:r>
      <w:r w:rsidR="000C47F9">
        <w:rPr>
          <w:sz w:val="22"/>
          <w:szCs w:val="22"/>
        </w:rPr>
        <w:t>№</w:t>
      </w:r>
      <w:r w:rsidR="000C47F9">
        <w:rPr>
          <w:sz w:val="22"/>
          <w:szCs w:val="22"/>
        </w:rPr>
        <w:t xml:space="preserve"> 117п </w:t>
      </w:r>
      <w:r w:rsidR="000C47F9">
        <w:rPr>
          <w:sz w:val="22"/>
          <w:szCs w:val="22"/>
        </w:rPr>
        <w:t>«</w:t>
      </w:r>
      <w:r w:rsidR="000C47F9">
        <w:t>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корректировке сведений индивидуального (персонифицированного) учета и внесении уточнений (дополнений</w:t>
      </w:r>
      <w:r w:rsidR="000C47F9">
        <w:t>) в индивидуальный лицевой счет</w:t>
      </w:r>
      <w:proofErr w:type="gramEnd"/>
      <w:r w:rsidR="000C47F9">
        <w:t>»</w:t>
      </w:r>
      <w:r w:rsidR="00A41696">
        <w:t xml:space="preserve"> </w:t>
      </w:r>
      <w:r w:rsidRPr="006C6527">
        <w:rPr>
          <w:bCs/>
        </w:rPr>
        <w:t>и иными нормативными правовыми актами, относящимися к сфере деятельности ПФР</w:t>
      </w:r>
      <w:r w:rsidR="00A41696">
        <w:rPr>
          <w:bCs/>
        </w:rPr>
        <w:t>.</w:t>
      </w:r>
    </w:p>
    <w:p w:rsidR="00E00A51" w:rsidRDefault="00E00A51" w:rsidP="00E00A51">
      <w:pPr>
        <w:pStyle w:val="a6"/>
        <w:tabs>
          <w:tab w:val="clear" w:pos="1080"/>
          <w:tab w:val="left" w:pos="1276"/>
        </w:tabs>
        <w:ind w:left="0" w:firstLine="851"/>
      </w:pPr>
      <w:r w:rsidRPr="004A43E1">
        <w:rPr>
          <w:spacing w:val="-17"/>
        </w:rPr>
        <w:t>3.2.</w:t>
      </w:r>
      <w:r w:rsidRPr="004A43E1">
        <w:tab/>
        <w:t>Информационный обмен Стороны осуществляют в соответствии с Порядком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учета, утвержденным постановлением Правления ПФР от 11.03.2020 № 178п.</w:t>
      </w:r>
    </w:p>
    <w:p w:rsidR="00E00A51" w:rsidRDefault="00E00A51" w:rsidP="00E00A51">
      <w:pPr>
        <w:pStyle w:val="a6"/>
        <w:numPr>
          <w:ilvl w:val="1"/>
          <w:numId w:val="1"/>
        </w:numPr>
        <w:tabs>
          <w:tab w:val="left" w:pos="0"/>
        </w:tabs>
        <w:ind w:left="0" w:firstLine="787"/>
      </w:pPr>
      <w:proofErr w:type="gramStart"/>
      <w:r>
        <w:t xml:space="preserve">В случаях, если владельцем сертификата ключа Абонента системы является не руководитель, то в соответствии </w:t>
      </w:r>
      <w:r w:rsidRPr="009079DE">
        <w:t>с Федеральным законом от 06.04.2011 г. № 63-ФЗ «Об электронной подписи» своим приказом руководитель назначает уполномоченного представителя (из руководящего</w:t>
      </w:r>
      <w:r>
        <w:t xml:space="preserve"> состава организации), о чем должен известить Управление ПФР, предоставив копию приказа о наделении владельца сертификата ключа правом подписи предоставляемых документов.</w:t>
      </w:r>
      <w:proofErr w:type="gramEnd"/>
    </w:p>
    <w:p w:rsidR="000D074F" w:rsidRPr="00481D8E" w:rsidRDefault="000D074F" w:rsidP="005B427A">
      <w:pPr>
        <w:shd w:val="clear" w:color="auto" w:fill="FFFFFF"/>
        <w:ind w:firstLine="540"/>
        <w:jc w:val="both"/>
      </w:pPr>
    </w:p>
    <w:p w:rsidR="005B427A" w:rsidRPr="006C6527" w:rsidRDefault="005B427A" w:rsidP="005B427A">
      <w:pPr>
        <w:tabs>
          <w:tab w:val="left" w:pos="-284"/>
          <w:tab w:val="left" w:pos="9923"/>
        </w:tabs>
        <w:ind w:right="-2" w:firstLine="540"/>
        <w:jc w:val="both"/>
        <w:rPr>
          <w:bCs/>
        </w:rPr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4. ПРАВА И ОБЯЗАННОСТИ СТОРОН</w:t>
      </w: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4.1. </w:t>
      </w:r>
      <w:r w:rsidR="00D43F68">
        <w:t>Управление</w:t>
      </w:r>
      <w:r w:rsidRPr="006C6527">
        <w:t xml:space="preserve"> ПФР принимает на себя следующие права и обязанности: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- обеспечить функционирование всего необходимого оборудования со стороны </w:t>
      </w:r>
      <w:r w:rsidR="00D43F68">
        <w:t>Управления</w:t>
      </w:r>
      <w:r w:rsidRPr="006C6527">
        <w:t xml:space="preserve"> ПФР, необходимого для обмена электронными документами с Абонентом Системы;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В соответствии с требованиями законодательства Российской Федерации </w:t>
      </w:r>
      <w:r w:rsidR="00D43F68">
        <w:t>Управление</w:t>
      </w:r>
      <w:r w:rsidRPr="006C6527">
        <w:t xml:space="preserve"> ПФР имеет право в одностороннем порядке изменять формы и перечень передаваемых документов.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4.2. Абонент Системы принимает на себя следующие права и обязанности: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- обеспечить функционирование всего  оборудования со стороны Абонента Системы, необходимого для обмена электронными документами с </w:t>
      </w:r>
      <w:r w:rsidR="00D43F68">
        <w:t>Управлением</w:t>
      </w:r>
      <w:r w:rsidRPr="006C6527">
        <w:t xml:space="preserve"> ПФР;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- </w:t>
      </w:r>
      <w:r w:rsidRPr="006C6527">
        <w:rPr>
          <w:spacing w:val="-5"/>
        </w:rPr>
        <w:t>заключить договор об оказании услуг на изготовление ключей шифрования и ЭП и выдачу квалифицированных сертификатов проверки ЭП для Абонента Системы с одним из</w:t>
      </w:r>
      <w:r w:rsidRPr="006C6527">
        <w:t xml:space="preserve"> </w:t>
      </w:r>
      <w:r w:rsidR="00954074">
        <w:lastRenderedPageBreak/>
        <w:t>аккредитованных центров</w:t>
      </w:r>
      <w:r w:rsidRPr="006C6527">
        <w:t xml:space="preserve">, </w:t>
      </w:r>
      <w:r w:rsidRPr="006C6527">
        <w:rPr>
          <w:spacing w:val="-3"/>
        </w:rPr>
        <w:t xml:space="preserve">список которых </w:t>
      </w:r>
      <w:r w:rsidR="00356FFC">
        <w:rPr>
          <w:spacing w:val="-3"/>
        </w:rPr>
        <w:t>размещен</w:t>
      </w:r>
      <w:r w:rsidR="00954074">
        <w:rPr>
          <w:spacing w:val="-3"/>
        </w:rPr>
        <w:t xml:space="preserve"> на</w:t>
      </w:r>
      <w:r w:rsidR="00356FFC">
        <w:rPr>
          <w:spacing w:val="-3"/>
        </w:rPr>
        <w:t xml:space="preserve"> сайте Министерства цифрового развития, связи и массовых коммуникаций Российской Федерации.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При этом в целях обеспечения безопасности обработки и конфиденциальности информации Абонент Системы должен: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соблюдать требования эксплуатационной документации на СКЗИ;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 Системы, прием блокируется с выдачей извещения об этом Абоненту Системы;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- прекращать использование скомпрометированного ключа шифрования и ЭП и немедленно информировать </w:t>
      </w:r>
      <w:r w:rsidR="00D43F68">
        <w:t>Управление</w:t>
      </w:r>
      <w:r w:rsidRPr="006C6527">
        <w:t xml:space="preserve"> ПФР и поставщика услуг УЦ, СКЗИ, программного продукта для представления электронных документов в орган ПФР по телекоммуникационным каналам связи, с которым заключен договор об оказании услуг, о факте компрометации ключа;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не уничтожать и (или) не модифицировать архивы открытых ключей ЭП, электронных документов (в том числе электронные квитанции и журналы);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- осуществлять передачу электронных документов с конфиденциальной информацией только в зашифрованном виде.</w:t>
      </w:r>
    </w:p>
    <w:p w:rsidR="005B427A" w:rsidRPr="003F5CC6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4.3. В случае невозможности исполнения обязательств по настоящему Соглашению Стороны незамедлительно в письменном виде извещают друг друга о приостановлении обязательств.</w:t>
      </w:r>
    </w:p>
    <w:p w:rsidR="008345CD" w:rsidRDefault="003B2DAD" w:rsidP="008345CD">
      <w:pPr>
        <w:shd w:val="clear" w:color="auto" w:fill="FFFFFF"/>
        <w:tabs>
          <w:tab w:val="left" w:pos="2916"/>
        </w:tabs>
        <w:ind w:firstLine="567"/>
        <w:jc w:val="both"/>
        <w:rPr>
          <w:b/>
          <w:bCs/>
          <w:color w:val="000000"/>
          <w:spacing w:val="-6"/>
          <w:sz w:val="18"/>
          <w:szCs w:val="18"/>
        </w:rPr>
      </w:pPr>
      <w:r w:rsidRPr="003B2DAD">
        <w:t>4</w:t>
      </w:r>
      <w:r>
        <w:t xml:space="preserve">.4.  </w:t>
      </w:r>
      <w:r w:rsidR="008345CD" w:rsidRPr="008345CD">
        <w:t>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разногласий, в соответствии с Порядком обмена электронными документами в СЭД ПФР по телекоммуникационным каналам связи.</w:t>
      </w:r>
    </w:p>
    <w:p w:rsidR="003B2DAD" w:rsidRPr="003B2DAD" w:rsidRDefault="003B2DAD" w:rsidP="003B2DAD">
      <w:pPr>
        <w:widowControl w:val="0"/>
        <w:autoSpaceDE w:val="0"/>
        <w:autoSpaceDN w:val="0"/>
        <w:adjustRightInd w:val="0"/>
        <w:ind w:firstLine="540"/>
        <w:jc w:val="both"/>
      </w:pPr>
    </w:p>
    <w:p w:rsidR="003B2DAD" w:rsidRPr="003B2DAD" w:rsidRDefault="003B2DAD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5. ОТВЕТСТВЕННОСТЬ СТОРОН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5.1. Стороны несут ответственность за использование информации в соответствии с законодательством Российской Федерации.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5.2. </w:t>
      </w:r>
      <w:r w:rsidR="00D43F68">
        <w:t>Управление</w:t>
      </w:r>
      <w:r w:rsidRPr="006C6527">
        <w:t xml:space="preserve"> ПФР не несет ответственности за ущерб, возникший вследствие несоблюдения Абонентом системы требований при представлении документов по телекоммуникационным каналам связи в части несвоевременного уведомления о компрометации ключей ЭП Абонента Системы.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 5.3. Абонент системы несет ответственность за сохранность программного обеспечения Системы, архивов сертификатов открытых ключей ЭП и электронных документов, размещенных на своих компьютерах.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5.4.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 xml:space="preserve">5.5. </w:t>
      </w:r>
      <w:proofErr w:type="gramStart"/>
      <w:r w:rsidRPr="006C6527">
        <w:t xml:space="preserve">Взаимодействующая с ПФР Сторона в соответствии с «Инструкцией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№ 152, выполняет в рамках данного соглашения указания координирующего органа криптографической  защиты  -  </w:t>
      </w:r>
      <w:r w:rsidR="00D43F68">
        <w:t>Управление</w:t>
      </w:r>
      <w:r w:rsidRPr="006C6527">
        <w:t xml:space="preserve"> ПФР по обеспечению безопасности информационного взаимодействия  с  использованием</w:t>
      </w:r>
      <w:proofErr w:type="gramEnd"/>
      <w:r w:rsidRPr="006C6527">
        <w:t xml:space="preserve"> СКЗИ.</w:t>
      </w: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  <w:r w:rsidRPr="006C6527">
        <w:t>6. ПОРЯДОК СМЕНЫ КЛЮЧЕЙ ШИФРОВАНИЯ И ЭЛЕКТРОННОЙ</w:t>
      </w:r>
    </w:p>
    <w:p w:rsidR="005B427A" w:rsidRPr="006C6527" w:rsidRDefault="005B427A" w:rsidP="005B427A">
      <w:pPr>
        <w:autoSpaceDE w:val="0"/>
        <w:autoSpaceDN w:val="0"/>
        <w:adjustRightInd w:val="0"/>
        <w:jc w:val="center"/>
      </w:pPr>
      <w:r w:rsidRPr="006C6527">
        <w:t>ПОДПИСИ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FF03A4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lastRenderedPageBreak/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8B26C0" w:rsidRPr="00FF03A4" w:rsidRDefault="008B26C0" w:rsidP="008B26C0">
      <w:pPr>
        <w:ind w:firstLine="851"/>
        <w:jc w:val="both"/>
        <w:rPr>
          <w:color w:val="000000"/>
        </w:rPr>
      </w:pPr>
    </w:p>
    <w:p w:rsidR="008B26C0" w:rsidRPr="00FF03A4" w:rsidRDefault="008B26C0" w:rsidP="008B26C0">
      <w:pPr>
        <w:ind w:firstLine="851"/>
        <w:jc w:val="both"/>
        <w:rPr>
          <w:color w:val="000000"/>
        </w:rPr>
      </w:pPr>
    </w:p>
    <w:p w:rsidR="008B26C0" w:rsidRPr="008B26C0" w:rsidRDefault="008B26C0" w:rsidP="008B26C0">
      <w:pPr>
        <w:pStyle w:val="1"/>
        <w:tabs>
          <w:tab w:val="left" w:pos="9639"/>
        </w:tabs>
        <w:spacing w:before="0" w:after="120"/>
        <w:ind w:right="284" w:firstLine="0"/>
        <w:rPr>
          <w:b w:val="0"/>
        </w:rPr>
      </w:pPr>
      <w:r w:rsidRPr="008B26C0">
        <w:rPr>
          <w:b w:val="0"/>
        </w:rPr>
        <w:t>7. ПОРЯДОК СОГЛАСОВАНИЯ РАЗНОГЛАСИЙ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>7.1. Стороны на основе взаимного согласия принимают следующий порядок разрешения возможных споров по обязательствам, вытекающим из содержания электронного документа, и споров о наличии электронного документа: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>в случаях, когда одна из сторон оспаривает подлинность, целостность или авторство электронного документа, стороны создают экспертную комиссию для определения подлинности, целостности или авторства электронного документа, а также для выявления причин, приведших к появлению данного случая;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 xml:space="preserve">при получении одной из сторон электронного документа, электронная подпись которого не получила положительного результата проверки, а другая сторона настаивает на его подлинности, стороны после проверки </w:t>
      </w:r>
      <w:proofErr w:type="gramStart"/>
      <w:r>
        <w:t>целостности программного обеспечения своего средства криптографической защиты информации</w:t>
      </w:r>
      <w:proofErr w:type="gramEnd"/>
      <w:r>
        <w:t xml:space="preserve"> назначают экспертную комиссию из представителей сторон и экспертов удостоверяющего центра, признаваемых сторонами;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>результаты проверок и выводы экспертной комиссии оформляются актом в течение одного месяца с момента подписания сторонами акта согласования состава экспертной комиссии.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>Экспертная комиссия в своей работе руководствуется порядком разрешения конфликтных ситуаций, определенным технической документацией на используемое средство криптографической защиты информации;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</w:pPr>
      <w:r>
        <w:t>составленный экспертной комиссией акт является основанием для выработки окончательного решения между сторонами.</w:t>
      </w:r>
    </w:p>
    <w:p w:rsidR="008B26C0" w:rsidRDefault="008B26C0" w:rsidP="008B26C0">
      <w:pPr>
        <w:tabs>
          <w:tab w:val="left" w:pos="9639"/>
        </w:tabs>
        <w:spacing w:before="120"/>
        <w:ind w:right="282" w:firstLine="709"/>
        <w:jc w:val="both"/>
        <w:rPr>
          <w:color w:val="000000"/>
        </w:rPr>
      </w:pPr>
      <w:r>
        <w:t>7.2. Стороны обязуются принимать все возможные усилия для разрешения споров путем переговоров. Если в результате переговоров стороны не придут к согласию, спор выносится на рассмотрение суда.</w:t>
      </w:r>
    </w:p>
    <w:p w:rsidR="008B26C0" w:rsidRPr="008B26C0" w:rsidRDefault="008B26C0" w:rsidP="005B427A">
      <w:pPr>
        <w:autoSpaceDE w:val="0"/>
        <w:autoSpaceDN w:val="0"/>
        <w:adjustRightInd w:val="0"/>
        <w:ind w:firstLine="540"/>
        <w:jc w:val="both"/>
      </w:pPr>
    </w:p>
    <w:p w:rsidR="005B427A" w:rsidRPr="005B427A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8B26C0" w:rsidP="005B427A">
      <w:pPr>
        <w:autoSpaceDE w:val="0"/>
        <w:autoSpaceDN w:val="0"/>
        <w:adjustRightInd w:val="0"/>
        <w:jc w:val="center"/>
        <w:outlineLvl w:val="2"/>
      </w:pPr>
      <w:r w:rsidRPr="00FF03A4">
        <w:t>8</w:t>
      </w:r>
      <w:r w:rsidR="005B427A" w:rsidRPr="006C6527">
        <w:t>. СРОК ДЕЙСТВИЯ СОГЛАШЕНИЯ</w:t>
      </w:r>
    </w:p>
    <w:p w:rsidR="005B427A" w:rsidRPr="006C6527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7.1. Настоящее Соглашение вступает в силу с момента его подписания Сторонами и заключается на неопределенный срок.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7.2. В случае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7.3.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5B427A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7.4.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D43F68" w:rsidRPr="006C6527" w:rsidRDefault="00D43F68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356FFC" w:rsidRDefault="00356FFC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8B26C0" w:rsidP="005B427A">
      <w:pPr>
        <w:autoSpaceDE w:val="0"/>
        <w:autoSpaceDN w:val="0"/>
        <w:adjustRightInd w:val="0"/>
        <w:jc w:val="center"/>
        <w:outlineLvl w:val="2"/>
      </w:pPr>
      <w:r w:rsidRPr="00FF03A4">
        <w:t>9</w:t>
      </w:r>
      <w:r w:rsidR="005B427A" w:rsidRPr="006C6527">
        <w:t>. ДОПОЛНИТЕЛЬНЫЕ УСЛОВИЯ</w:t>
      </w: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</w:pPr>
      <w:r w:rsidRPr="006C6527">
        <w:t>8.1. Настоящее Соглашение составлено в двух экземплярах, каждая из которых имеет одинаковую юридическую силу.</w:t>
      </w:r>
    </w:p>
    <w:p w:rsidR="005B427A" w:rsidRPr="00FF03A4" w:rsidRDefault="005B427A" w:rsidP="005B42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B26C0" w:rsidRPr="00FF03A4" w:rsidRDefault="008B26C0" w:rsidP="005B42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B26C0" w:rsidRPr="00FF03A4" w:rsidRDefault="008B26C0" w:rsidP="005B42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427A" w:rsidRPr="006C6527" w:rsidRDefault="005B427A" w:rsidP="005B42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22503" w:rsidRDefault="00022503" w:rsidP="005B427A">
      <w:pPr>
        <w:autoSpaceDE w:val="0"/>
        <w:autoSpaceDN w:val="0"/>
        <w:adjustRightInd w:val="0"/>
        <w:jc w:val="center"/>
        <w:outlineLvl w:val="2"/>
      </w:pPr>
    </w:p>
    <w:p w:rsidR="005B427A" w:rsidRPr="005B427A" w:rsidRDefault="008A1EB3" w:rsidP="005B427A">
      <w:pPr>
        <w:autoSpaceDE w:val="0"/>
        <w:autoSpaceDN w:val="0"/>
        <w:adjustRightInd w:val="0"/>
        <w:jc w:val="center"/>
        <w:outlineLvl w:val="2"/>
      </w:pPr>
      <w:r w:rsidRPr="00AA3B7D">
        <w:t>10</w:t>
      </w:r>
      <w:r w:rsidR="005B427A" w:rsidRPr="006C6527">
        <w:t>. ЮРИДИЧЕСКИЕ АДРЕСА И РЕКВИЗИТЫ СТОРОН</w:t>
      </w:r>
    </w:p>
    <w:p w:rsidR="005B427A" w:rsidRPr="005B427A" w:rsidRDefault="005B427A" w:rsidP="005B427A">
      <w:pPr>
        <w:autoSpaceDE w:val="0"/>
        <w:autoSpaceDN w:val="0"/>
        <w:adjustRightInd w:val="0"/>
        <w:jc w:val="center"/>
        <w:outlineLvl w:val="2"/>
      </w:pPr>
    </w:p>
    <w:p w:rsidR="005B427A" w:rsidRPr="006C6527" w:rsidRDefault="00AA3B7D" w:rsidP="005B427A">
      <w:pPr>
        <w:shd w:val="clear" w:color="auto" w:fill="FFFFFF"/>
        <w:spacing w:before="490"/>
        <w:ind w:left="667"/>
      </w:pPr>
      <w:r>
        <w:rPr>
          <w:b/>
          <w:bCs/>
          <w:spacing w:val="-4"/>
        </w:rPr>
        <w:t>Абонент системы:</w:t>
      </w:r>
      <w:r w:rsidR="005B427A" w:rsidRPr="006C6527">
        <w:rPr>
          <w:b/>
          <w:bCs/>
          <w:spacing w:val="-4"/>
        </w:rPr>
        <w:tab/>
      </w:r>
      <w:r w:rsidR="005B427A" w:rsidRPr="006C6527">
        <w:rPr>
          <w:b/>
          <w:bCs/>
          <w:spacing w:val="-4"/>
        </w:rPr>
        <w:tab/>
      </w:r>
      <w:r w:rsidR="005B427A" w:rsidRPr="006C6527">
        <w:rPr>
          <w:b/>
          <w:bCs/>
          <w:spacing w:val="-4"/>
        </w:rPr>
        <w:tab/>
      </w:r>
      <w:r w:rsidR="005B427A" w:rsidRPr="006C6527">
        <w:rPr>
          <w:b/>
          <w:bCs/>
          <w:spacing w:val="-4"/>
        </w:rPr>
        <w:tab/>
      </w:r>
      <w:r w:rsidR="005B427A" w:rsidRPr="006C6527">
        <w:rPr>
          <w:b/>
          <w:bCs/>
          <w:spacing w:val="-4"/>
        </w:rPr>
        <w:tab/>
      </w:r>
      <w:r w:rsidR="00D43F68">
        <w:rPr>
          <w:b/>
          <w:bCs/>
          <w:spacing w:val="-4"/>
        </w:rPr>
        <w:t>Управление</w:t>
      </w:r>
      <w:r w:rsidR="005B427A" w:rsidRPr="006C6527">
        <w:rPr>
          <w:b/>
          <w:bCs/>
          <w:spacing w:val="-4"/>
        </w:rPr>
        <w:t xml:space="preserve"> ПФР:</w:t>
      </w:r>
    </w:p>
    <w:tbl>
      <w:tblPr>
        <w:tblW w:w="201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78"/>
        <w:gridCol w:w="684"/>
        <w:gridCol w:w="4925"/>
        <w:gridCol w:w="4925"/>
        <w:gridCol w:w="4925"/>
      </w:tblGrid>
      <w:tr w:rsidR="00D43F68" w:rsidRPr="006C6527" w:rsidTr="00D43F68">
        <w:trPr>
          <w:cantSplit/>
          <w:trHeight w:val="255"/>
        </w:trPr>
        <w:tc>
          <w:tcPr>
            <w:tcW w:w="4678" w:type="dxa"/>
          </w:tcPr>
          <w:p w:rsidR="00D43F68" w:rsidRDefault="00F81889" w:rsidP="005B427A">
            <w:r>
              <w:t>___________________________________</w:t>
            </w:r>
          </w:p>
          <w:p w:rsidR="00AA3B7D" w:rsidRPr="00AA3B7D" w:rsidRDefault="00AA3B7D" w:rsidP="005B4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AA3B7D">
              <w:rPr>
                <w:sz w:val="20"/>
                <w:szCs w:val="20"/>
              </w:rPr>
              <w:t>(наименование)</w:t>
            </w:r>
          </w:p>
          <w:p w:rsidR="00F81889" w:rsidRDefault="00F81889" w:rsidP="005B427A">
            <w:r>
              <w:t>___________________________________</w:t>
            </w:r>
          </w:p>
          <w:p w:rsidR="00AA3B7D" w:rsidRDefault="00AA3B7D" w:rsidP="005B427A"/>
          <w:p w:rsidR="00AA3B7D" w:rsidRDefault="00F81889" w:rsidP="005B427A">
            <w:r>
              <w:t xml:space="preserve">Адрес______________________________ </w:t>
            </w:r>
          </w:p>
          <w:p w:rsidR="00AA3B7D" w:rsidRDefault="00AA3B7D" w:rsidP="005B427A"/>
          <w:p w:rsidR="00F81889" w:rsidRDefault="00F81889" w:rsidP="005B427A">
            <w:r>
              <w:t>___________________________________</w:t>
            </w:r>
          </w:p>
          <w:p w:rsidR="00AA3B7D" w:rsidRDefault="00AA3B7D" w:rsidP="005B427A"/>
          <w:p w:rsidR="00AA3B7D" w:rsidRDefault="00F81889" w:rsidP="00AA3B7D">
            <w:pPr>
              <w:shd w:val="clear" w:color="auto" w:fill="FFFFFF"/>
              <w:tabs>
                <w:tab w:val="left" w:pos="113"/>
                <w:tab w:val="left" w:pos="1701"/>
                <w:tab w:val="left" w:pos="3402"/>
                <w:tab w:val="left" w:pos="4860"/>
              </w:tabs>
              <w:spacing w:line="100" w:lineRule="atLeast"/>
              <w:jc w:val="both"/>
            </w:pPr>
            <w:r>
              <w:t>________________</w:t>
            </w:r>
            <w:r w:rsidR="00AA3B7D">
              <w:t>тел._________________</w:t>
            </w:r>
          </w:p>
          <w:p w:rsidR="00AA3B7D" w:rsidRDefault="00AA3B7D" w:rsidP="00AA3B7D">
            <w:pPr>
              <w:shd w:val="clear" w:color="auto" w:fill="FFFFFF"/>
              <w:tabs>
                <w:tab w:val="left" w:pos="113"/>
                <w:tab w:val="left" w:pos="1701"/>
                <w:tab w:val="left" w:pos="3402"/>
                <w:tab w:val="left" w:pos="4860"/>
              </w:tabs>
              <w:spacing w:line="100" w:lineRule="atLeast"/>
              <w:jc w:val="both"/>
            </w:pPr>
          </w:p>
          <w:p w:rsidR="00AA3B7D" w:rsidRDefault="00AA3B7D" w:rsidP="00AA3B7D">
            <w:pPr>
              <w:shd w:val="clear" w:color="auto" w:fill="FFFFFF"/>
              <w:tabs>
                <w:tab w:val="left" w:pos="113"/>
                <w:tab w:val="left" w:pos="1701"/>
                <w:tab w:val="left" w:pos="3402"/>
                <w:tab w:val="left" w:pos="4860"/>
              </w:tabs>
              <w:spacing w:line="100" w:lineRule="atLeast"/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8A1EB3">
              <w:rPr>
                <w:color w:val="000000"/>
                <w:u w:val="single"/>
              </w:rPr>
              <w:t xml:space="preserve"> ИНН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  <w:sz w:val="14"/>
                <w:szCs w:val="14"/>
                <w:u w:val="single"/>
              </w:rPr>
              <w:tab/>
              <w:t xml:space="preserve">              </w:t>
            </w:r>
            <w:r w:rsidRPr="008A1EB3">
              <w:rPr>
                <w:color w:val="000000"/>
                <w:u w:val="single"/>
              </w:rPr>
              <w:t>КПП</w:t>
            </w:r>
            <w:r>
              <w:rPr>
                <w:color w:val="000000"/>
                <w:sz w:val="14"/>
                <w:szCs w:val="14"/>
                <w:u w:val="single"/>
              </w:rPr>
              <w:t>_________________________</w:t>
            </w:r>
          </w:p>
          <w:p w:rsidR="00F81889" w:rsidRDefault="00F81889" w:rsidP="00AA3B7D"/>
          <w:p w:rsidR="00F81889" w:rsidRDefault="00F81889" w:rsidP="00F81889">
            <w:r>
              <w:t>Руководитель</w:t>
            </w:r>
          </w:p>
          <w:p w:rsidR="00F81889" w:rsidRDefault="00F81889" w:rsidP="00F81889">
            <w:r>
              <w:t>___________ _____________________ФИО</w:t>
            </w:r>
          </w:p>
          <w:p w:rsidR="00F81889" w:rsidRDefault="00F81889" w:rsidP="00F81889">
            <w:pPr>
              <w:pStyle w:val="a4"/>
            </w:pPr>
            <w:r>
              <w:t xml:space="preserve">           (подпись)</w:t>
            </w:r>
          </w:p>
          <w:p w:rsidR="00F81889" w:rsidRDefault="00F81889" w:rsidP="00F81889">
            <w:pPr>
              <w:pStyle w:val="a4"/>
              <w:ind w:left="0"/>
            </w:pPr>
          </w:p>
          <w:p w:rsidR="00F81889" w:rsidRDefault="00F81889" w:rsidP="00AA3B7D">
            <w:pPr>
              <w:pStyle w:val="a4"/>
              <w:ind w:left="0"/>
              <w:rPr>
                <w:sz w:val="20"/>
                <w:szCs w:val="20"/>
              </w:rPr>
            </w:pPr>
            <w:r>
              <w:t xml:space="preserve">«    </w:t>
            </w:r>
            <w:r w:rsidR="00AA3B7D">
              <w:t xml:space="preserve">  </w:t>
            </w:r>
            <w:r>
              <w:t xml:space="preserve"> »  _______________________ 20</w:t>
            </w:r>
            <w:r w:rsidR="00AA3B7D">
              <w:t>___</w:t>
            </w:r>
            <w:r>
              <w:t xml:space="preserve"> г.</w:t>
            </w:r>
          </w:p>
          <w:p w:rsidR="00F81889" w:rsidRDefault="00F81889" w:rsidP="00F81889">
            <w:pPr>
              <w:shd w:val="clear" w:color="auto" w:fill="FFFFFF"/>
              <w:ind w:left="7"/>
              <w:rPr>
                <w:sz w:val="20"/>
                <w:szCs w:val="20"/>
              </w:rPr>
            </w:pPr>
          </w:p>
          <w:p w:rsidR="00F81889" w:rsidRPr="006C6527" w:rsidRDefault="00F81889" w:rsidP="00F81889">
            <w:r>
              <w:rPr>
                <w:sz w:val="20"/>
                <w:szCs w:val="20"/>
              </w:rPr>
              <w:t xml:space="preserve">        МП</w:t>
            </w:r>
          </w:p>
        </w:tc>
        <w:tc>
          <w:tcPr>
            <w:tcW w:w="684" w:type="dxa"/>
          </w:tcPr>
          <w:p w:rsidR="00D43F68" w:rsidRPr="006C6527" w:rsidRDefault="00D43F68" w:rsidP="005B427A"/>
        </w:tc>
        <w:tc>
          <w:tcPr>
            <w:tcW w:w="4925" w:type="dxa"/>
          </w:tcPr>
          <w:p w:rsidR="00D43F68" w:rsidRDefault="00D43F68" w:rsidP="00654ABD">
            <w:pPr>
              <w:pStyle w:val="a4"/>
              <w:spacing w:after="0"/>
              <w:ind w:left="0" w:firstLine="34"/>
            </w:pPr>
            <w:r>
              <w:t>Государственное учреждение - Управление Пенсионного Фонда Российской Федерации _________________________________</w:t>
            </w:r>
            <w:r w:rsidR="008A1EB3">
              <w:t>_____</w:t>
            </w:r>
            <w:r w:rsidRPr="003E31CF">
              <w:t>Камчатского края (межрайонное)</w:t>
            </w:r>
          </w:p>
          <w:p w:rsidR="008A1EB3" w:rsidRDefault="008A1EB3" w:rsidP="00654ABD">
            <w:pPr>
              <w:pStyle w:val="a4"/>
              <w:spacing w:after="0"/>
              <w:ind w:left="0" w:firstLine="34"/>
            </w:pPr>
          </w:p>
          <w:p w:rsidR="00D43F68" w:rsidRDefault="008A1EB3" w:rsidP="008A1EB3">
            <w:pPr>
              <w:pStyle w:val="a4"/>
              <w:spacing w:after="0"/>
              <w:ind w:left="0" w:firstLine="34"/>
            </w:pPr>
            <w:r>
              <w:t>Адрес:</w:t>
            </w:r>
            <w:r w:rsidR="00D43F68">
              <w:t>____________</w:t>
            </w:r>
            <w:r>
              <w:t>_____________</w:t>
            </w:r>
            <w:r w:rsidR="00D43F68">
              <w:t>_______</w:t>
            </w:r>
          </w:p>
          <w:p w:rsidR="008A1EB3" w:rsidRDefault="008A1EB3" w:rsidP="008A1EB3">
            <w:pPr>
              <w:pStyle w:val="a4"/>
              <w:spacing w:after="0"/>
              <w:ind w:left="0" w:firstLine="34"/>
            </w:pPr>
          </w:p>
          <w:p w:rsidR="008A1EB3" w:rsidRDefault="006A5BF3" w:rsidP="008A1EB3">
            <w:pPr>
              <w:pStyle w:val="a4"/>
              <w:spacing w:after="0"/>
              <w:ind w:left="0" w:firstLine="34"/>
            </w:pPr>
            <w:r>
              <w:t>____</w:t>
            </w:r>
            <w:r w:rsidR="008A1EB3">
              <w:t>_______________________тел.________</w:t>
            </w:r>
          </w:p>
          <w:p w:rsidR="008A1EB3" w:rsidRDefault="008A1EB3" w:rsidP="008A1EB3">
            <w:pPr>
              <w:pStyle w:val="a4"/>
              <w:spacing w:after="0"/>
              <w:ind w:left="0" w:firstLine="34"/>
            </w:pPr>
          </w:p>
          <w:p w:rsidR="008A1EB3" w:rsidRDefault="008A1EB3" w:rsidP="008A1EB3">
            <w:pPr>
              <w:shd w:val="clear" w:color="auto" w:fill="FFFFFF"/>
              <w:tabs>
                <w:tab w:val="left" w:pos="113"/>
                <w:tab w:val="left" w:pos="1701"/>
                <w:tab w:val="left" w:pos="3402"/>
                <w:tab w:val="left" w:pos="4860"/>
              </w:tabs>
              <w:spacing w:line="100" w:lineRule="atLeast"/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8A1EB3">
              <w:rPr>
                <w:color w:val="000000"/>
                <w:u w:val="single"/>
              </w:rPr>
              <w:t>ИНН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  <w:sz w:val="14"/>
                <w:szCs w:val="14"/>
                <w:u w:val="single"/>
              </w:rPr>
              <w:tab/>
              <w:t xml:space="preserve">                </w:t>
            </w:r>
            <w:r w:rsidRPr="008A1EB3">
              <w:rPr>
                <w:color w:val="000000"/>
                <w:u w:val="single"/>
              </w:rPr>
              <w:t>КПП</w:t>
            </w:r>
            <w:r>
              <w:rPr>
                <w:color w:val="000000"/>
                <w:sz w:val="14"/>
                <w:szCs w:val="14"/>
                <w:u w:val="single"/>
              </w:rPr>
              <w:t>_________________________</w:t>
            </w:r>
          </w:p>
          <w:p w:rsidR="008A1EB3" w:rsidRDefault="008A1EB3" w:rsidP="008A1EB3">
            <w:pPr>
              <w:shd w:val="clear" w:color="auto" w:fill="FFFFFF"/>
              <w:tabs>
                <w:tab w:val="left" w:pos="2520"/>
                <w:tab w:val="left" w:pos="3240"/>
                <w:tab w:val="left" w:pos="4860"/>
              </w:tabs>
              <w:spacing w:line="100" w:lineRule="atLeast"/>
              <w:jc w:val="center"/>
            </w:pPr>
            <w:r>
              <w:br w:type="column"/>
            </w:r>
          </w:p>
          <w:p w:rsidR="00AA3B7D" w:rsidRDefault="00D43F68" w:rsidP="00AA3B7D">
            <w:r>
              <w:t>Начальник управления</w:t>
            </w:r>
            <w:r w:rsidR="008A1EB3">
              <w:t>:</w:t>
            </w:r>
          </w:p>
          <w:p w:rsidR="00AA3B7D" w:rsidRDefault="00AA3B7D" w:rsidP="00AA3B7D">
            <w:r>
              <w:t>_______ ___________________________ФИО</w:t>
            </w:r>
          </w:p>
          <w:p w:rsidR="00AA3B7D" w:rsidRDefault="00AA3B7D" w:rsidP="00AA3B7D">
            <w:pPr>
              <w:pStyle w:val="a4"/>
            </w:pPr>
            <w:r>
              <w:t xml:space="preserve">           (подпись)</w:t>
            </w:r>
          </w:p>
          <w:p w:rsidR="008A1EB3" w:rsidRDefault="008A1EB3" w:rsidP="008A1EB3">
            <w:pPr>
              <w:pStyle w:val="a4"/>
              <w:ind w:left="0"/>
            </w:pPr>
          </w:p>
          <w:p w:rsidR="00D43F68" w:rsidRDefault="00D43F68" w:rsidP="008A1EB3">
            <w:pPr>
              <w:pStyle w:val="a4"/>
              <w:ind w:left="0"/>
              <w:rPr>
                <w:sz w:val="20"/>
                <w:szCs w:val="20"/>
              </w:rPr>
            </w:pPr>
            <w:r>
              <w:t xml:space="preserve">«  </w:t>
            </w:r>
            <w:r w:rsidR="00AA3B7D">
              <w:t xml:space="preserve">  </w:t>
            </w:r>
            <w:r>
              <w:t xml:space="preserve">   »  _______________________ 20</w:t>
            </w:r>
            <w:r w:rsidR="008A1EB3">
              <w:t>____</w:t>
            </w:r>
            <w:r>
              <w:t>г.</w:t>
            </w:r>
          </w:p>
          <w:p w:rsidR="00D43F68" w:rsidRPr="000539F2" w:rsidRDefault="00AA3B7D" w:rsidP="00AA3B7D">
            <w:pPr>
              <w:shd w:val="clear" w:color="auto" w:fill="FFFFFF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43F68">
              <w:rPr>
                <w:sz w:val="20"/>
                <w:szCs w:val="20"/>
              </w:rPr>
              <w:t xml:space="preserve">        МП</w:t>
            </w:r>
          </w:p>
        </w:tc>
        <w:tc>
          <w:tcPr>
            <w:tcW w:w="4925" w:type="dxa"/>
          </w:tcPr>
          <w:p w:rsidR="00D43F68" w:rsidRPr="006C6527" w:rsidRDefault="00D43F68" w:rsidP="005B427A">
            <w:pPr>
              <w:spacing w:line="228" w:lineRule="auto"/>
              <w:jc w:val="both"/>
            </w:pPr>
          </w:p>
          <w:p w:rsidR="00D43F68" w:rsidRPr="006C6527" w:rsidRDefault="00D43F68" w:rsidP="005B427A">
            <w:pPr>
              <w:spacing w:line="228" w:lineRule="auto"/>
              <w:jc w:val="both"/>
            </w:pPr>
          </w:p>
        </w:tc>
        <w:tc>
          <w:tcPr>
            <w:tcW w:w="4925" w:type="dxa"/>
          </w:tcPr>
          <w:p w:rsidR="00D43F68" w:rsidRPr="006C6527" w:rsidRDefault="00D43F68" w:rsidP="005B427A"/>
        </w:tc>
      </w:tr>
    </w:tbl>
    <w:p w:rsidR="00E73E4C" w:rsidRDefault="00E73E4C" w:rsidP="004438D4">
      <w:pPr>
        <w:autoSpaceDE w:val="0"/>
        <w:autoSpaceDN w:val="0"/>
        <w:adjustRightInd w:val="0"/>
        <w:outlineLvl w:val="2"/>
      </w:pPr>
    </w:p>
    <w:sectPr w:rsidR="00E73E4C" w:rsidSect="005B42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>
      <w:start w:val="3"/>
      <w:numFmt w:val="decimal"/>
      <w:lvlText w:val="%1.%2"/>
      <w:lvlJc w:val="left"/>
      <w:pPr>
        <w:tabs>
          <w:tab w:val="num" w:pos="1162"/>
        </w:tabs>
        <w:ind w:left="1162" w:hanging="375"/>
      </w:pPr>
    </w:lvl>
    <w:lvl w:ilvl="2">
      <w:start w:val="1"/>
      <w:numFmt w:val="decimal"/>
      <w:lvlText w:val="%1.%2.%3"/>
      <w:lvlJc w:val="left"/>
      <w:pPr>
        <w:tabs>
          <w:tab w:val="num" w:pos="1507"/>
        </w:tabs>
        <w:ind w:left="1507" w:hanging="720"/>
      </w:pPr>
    </w:lvl>
    <w:lvl w:ilvl="3">
      <w:start w:val="1"/>
      <w:numFmt w:val="decimal"/>
      <w:lvlText w:val="%1.%2.%3.%4"/>
      <w:lvlJc w:val="left"/>
      <w:pPr>
        <w:tabs>
          <w:tab w:val="num" w:pos="1507"/>
        </w:tabs>
        <w:ind w:left="1507" w:hanging="720"/>
      </w:pPr>
    </w:lvl>
    <w:lvl w:ilvl="4">
      <w:start w:val="1"/>
      <w:numFmt w:val="decimal"/>
      <w:lvlText w:val="%1.%2.%3.%4.%5"/>
      <w:lvlJc w:val="left"/>
      <w:pPr>
        <w:tabs>
          <w:tab w:val="num" w:pos="1867"/>
        </w:tabs>
        <w:ind w:left="1867" w:hanging="1080"/>
      </w:pPr>
    </w:lvl>
    <w:lvl w:ilvl="5">
      <w:start w:val="1"/>
      <w:numFmt w:val="decimal"/>
      <w:lvlText w:val="%1.%2.%3.%4.%5.%6"/>
      <w:lvlJc w:val="left"/>
      <w:pPr>
        <w:tabs>
          <w:tab w:val="num" w:pos="1867"/>
        </w:tabs>
        <w:ind w:left="186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27"/>
        </w:tabs>
        <w:ind w:left="222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7"/>
        </w:tabs>
        <w:ind w:left="222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7"/>
        </w:tabs>
        <w:ind w:left="2587" w:hanging="180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pacing w:val="-1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Cs/>
        <w:color w:val="000000"/>
        <w:spacing w:val="-2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7"/>
    <w:rsid w:val="00022503"/>
    <w:rsid w:val="000C47F9"/>
    <w:rsid w:val="000D074F"/>
    <w:rsid w:val="000F1F14"/>
    <w:rsid w:val="00130CDD"/>
    <w:rsid w:val="00134256"/>
    <w:rsid w:val="00206321"/>
    <w:rsid w:val="00213A09"/>
    <w:rsid w:val="002462F5"/>
    <w:rsid w:val="0025585D"/>
    <w:rsid w:val="002B36AC"/>
    <w:rsid w:val="002E34E5"/>
    <w:rsid w:val="00345D4D"/>
    <w:rsid w:val="00356FFC"/>
    <w:rsid w:val="003B2DAD"/>
    <w:rsid w:val="003F5CC6"/>
    <w:rsid w:val="00405613"/>
    <w:rsid w:val="004142D3"/>
    <w:rsid w:val="004438D4"/>
    <w:rsid w:val="004634F9"/>
    <w:rsid w:val="004C6AE7"/>
    <w:rsid w:val="00526841"/>
    <w:rsid w:val="005309DC"/>
    <w:rsid w:val="005414F0"/>
    <w:rsid w:val="00552986"/>
    <w:rsid w:val="005B427A"/>
    <w:rsid w:val="005E3A07"/>
    <w:rsid w:val="00612205"/>
    <w:rsid w:val="006A5BF3"/>
    <w:rsid w:val="006C03BD"/>
    <w:rsid w:val="006E01AA"/>
    <w:rsid w:val="00710C44"/>
    <w:rsid w:val="00714FDF"/>
    <w:rsid w:val="00724F72"/>
    <w:rsid w:val="007442AA"/>
    <w:rsid w:val="007E1C85"/>
    <w:rsid w:val="008038EF"/>
    <w:rsid w:val="008063D2"/>
    <w:rsid w:val="008345CD"/>
    <w:rsid w:val="00857ADD"/>
    <w:rsid w:val="00877A84"/>
    <w:rsid w:val="008929D3"/>
    <w:rsid w:val="008A1EB3"/>
    <w:rsid w:val="008B26C0"/>
    <w:rsid w:val="008B58AD"/>
    <w:rsid w:val="008E65EC"/>
    <w:rsid w:val="00921439"/>
    <w:rsid w:val="00954074"/>
    <w:rsid w:val="00957EF5"/>
    <w:rsid w:val="009C02BA"/>
    <w:rsid w:val="009D1B0B"/>
    <w:rsid w:val="00A41696"/>
    <w:rsid w:val="00A64E63"/>
    <w:rsid w:val="00AA3B7D"/>
    <w:rsid w:val="00AD0508"/>
    <w:rsid w:val="00AE48B9"/>
    <w:rsid w:val="00AF4C5A"/>
    <w:rsid w:val="00B37878"/>
    <w:rsid w:val="00B41426"/>
    <w:rsid w:val="00BA64C7"/>
    <w:rsid w:val="00BB5E4F"/>
    <w:rsid w:val="00BB7D5E"/>
    <w:rsid w:val="00BD379E"/>
    <w:rsid w:val="00C01888"/>
    <w:rsid w:val="00C142F2"/>
    <w:rsid w:val="00C205F5"/>
    <w:rsid w:val="00C440F2"/>
    <w:rsid w:val="00C562E6"/>
    <w:rsid w:val="00C63653"/>
    <w:rsid w:val="00CF15FF"/>
    <w:rsid w:val="00D064A7"/>
    <w:rsid w:val="00D212D3"/>
    <w:rsid w:val="00D32FBF"/>
    <w:rsid w:val="00D43F68"/>
    <w:rsid w:val="00D53585"/>
    <w:rsid w:val="00DB4783"/>
    <w:rsid w:val="00DD57BD"/>
    <w:rsid w:val="00DF764F"/>
    <w:rsid w:val="00E00A51"/>
    <w:rsid w:val="00E73E4C"/>
    <w:rsid w:val="00E76329"/>
    <w:rsid w:val="00ED5143"/>
    <w:rsid w:val="00ED6E08"/>
    <w:rsid w:val="00EF66BA"/>
    <w:rsid w:val="00F37253"/>
    <w:rsid w:val="00F40B2E"/>
    <w:rsid w:val="00F7074B"/>
    <w:rsid w:val="00F81889"/>
    <w:rsid w:val="00F90CCD"/>
    <w:rsid w:val="00F96489"/>
    <w:rsid w:val="00F96B5A"/>
    <w:rsid w:val="00FA5AA6"/>
    <w:rsid w:val="00FD3328"/>
    <w:rsid w:val="00FD5082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D064A7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Balloon Text"/>
    <w:basedOn w:val="a"/>
    <w:semiHidden/>
    <w:rsid w:val="00C6365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43F68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43F68"/>
    <w:rPr>
      <w:sz w:val="24"/>
      <w:szCs w:val="24"/>
      <w:lang w:eastAsia="ar-SA"/>
    </w:rPr>
  </w:style>
  <w:style w:type="paragraph" w:customStyle="1" w:styleId="a6">
    <w:name w:val="Пункт"/>
    <w:basedOn w:val="a"/>
    <w:rsid w:val="00E00A51"/>
    <w:pPr>
      <w:tabs>
        <w:tab w:val="left" w:pos="1080"/>
      </w:tabs>
      <w:suppressAutoHyphens/>
      <w:autoSpaceDE w:val="0"/>
      <w:ind w:left="792" w:hanging="432"/>
      <w:jc w:val="both"/>
    </w:pPr>
    <w:rPr>
      <w:lang w:eastAsia="ar-SA"/>
    </w:rPr>
  </w:style>
  <w:style w:type="paragraph" w:customStyle="1" w:styleId="1">
    <w:name w:val="Стиль1"/>
    <w:basedOn w:val="a"/>
    <w:rsid w:val="008B26C0"/>
    <w:pPr>
      <w:tabs>
        <w:tab w:val="left" w:pos="567"/>
        <w:tab w:val="left" w:pos="1276"/>
        <w:tab w:val="left" w:pos="1560"/>
      </w:tabs>
      <w:suppressAutoHyphens/>
      <w:autoSpaceDE w:val="0"/>
      <w:spacing w:before="120"/>
      <w:ind w:firstLine="851"/>
      <w:jc w:val="center"/>
    </w:pPr>
    <w:rPr>
      <w:rFonts w:ascii="Times New Roman CYR" w:hAnsi="Times New Roman CYR" w:cs="Times New Roman CYR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D064A7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Balloon Text"/>
    <w:basedOn w:val="a"/>
    <w:semiHidden/>
    <w:rsid w:val="00C6365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43F68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43F68"/>
    <w:rPr>
      <w:sz w:val="24"/>
      <w:szCs w:val="24"/>
      <w:lang w:eastAsia="ar-SA"/>
    </w:rPr>
  </w:style>
  <w:style w:type="paragraph" w:customStyle="1" w:styleId="a6">
    <w:name w:val="Пункт"/>
    <w:basedOn w:val="a"/>
    <w:rsid w:val="00E00A51"/>
    <w:pPr>
      <w:tabs>
        <w:tab w:val="left" w:pos="1080"/>
      </w:tabs>
      <w:suppressAutoHyphens/>
      <w:autoSpaceDE w:val="0"/>
      <w:ind w:left="792" w:hanging="432"/>
      <w:jc w:val="both"/>
    </w:pPr>
    <w:rPr>
      <w:lang w:eastAsia="ar-SA"/>
    </w:rPr>
  </w:style>
  <w:style w:type="paragraph" w:customStyle="1" w:styleId="1">
    <w:name w:val="Стиль1"/>
    <w:basedOn w:val="a"/>
    <w:rsid w:val="008B26C0"/>
    <w:pPr>
      <w:tabs>
        <w:tab w:val="left" w:pos="567"/>
        <w:tab w:val="left" w:pos="1276"/>
        <w:tab w:val="left" w:pos="1560"/>
      </w:tabs>
      <w:suppressAutoHyphens/>
      <w:autoSpaceDE w:val="0"/>
      <w:spacing w:before="120"/>
      <w:ind w:firstLine="851"/>
      <w:jc w:val="center"/>
    </w:pPr>
    <w:rPr>
      <w:rFonts w:ascii="Times New Roman CYR" w:hAnsi="Times New Roman CYR" w:cs="Times New Roman CYR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1B897EAB25CC04826A3F91AEEF2530BD9C2A74AE91DD09B90EF65C89785A2E4A976D8E819BFDAA411648A6D7TFm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750890843F579CBBA7A776B98FECD14FDC39F34AA19344EDB16FECBEEF5A1F65EA24E1C250F97F4C33C62C78OEk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1478</Words>
  <Characters>11853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</vt:lpstr>
    </vt:vector>
  </TitlesOfParts>
  <Company>PFR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C1006</dc:creator>
  <cp:lastModifiedBy>Мошковец Анастасия Олеговна</cp:lastModifiedBy>
  <cp:revision>29</cp:revision>
  <cp:lastPrinted>2021-02-18T04:34:00Z</cp:lastPrinted>
  <dcterms:created xsi:type="dcterms:W3CDTF">2021-02-18T04:36:00Z</dcterms:created>
  <dcterms:modified xsi:type="dcterms:W3CDTF">2021-03-01T03:54:00Z</dcterms:modified>
</cp:coreProperties>
</file>