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Style w:val="689"/>
        <w:pBdr/>
        <w:spacing/>
        <w:ind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Сведения о проведении заседаний Комиссии</w:t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689"/>
        <w:pBdr/>
        <w:spacing/>
        <w:ind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Отделения Фонда пенсионного и социального страхования</w:t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689"/>
        <w:pBdr/>
        <w:spacing/>
        <w:ind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Российской Федерации по Республике Хакасия</w:t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689"/>
        <w:pBdr/>
        <w:spacing/>
        <w:ind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соблюдению требований к служебному поведению</w:t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689"/>
        <w:pBdr/>
        <w:spacing/>
        <w:ind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 урегулированию конфликта интересов за </w:t>
      </w:r>
      <w:r>
        <w:rPr>
          <w:rFonts w:ascii="Times New Roman" w:hAnsi="Times New Roman"/>
          <w:b/>
          <w:sz w:val="24"/>
          <w:szCs w:val="24"/>
        </w:rPr>
        <w:t xml:space="preserve">1 квартал 2025 года</w:t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674"/>
        <w:pBdr/>
        <w:spacing w:after="0" w:before="0" w:line="240" w:lineRule="auto"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89"/>
        <w:pBdr/>
        <w:spacing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27.0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1.2025 г.</w:t>
      </w:r>
      <w:r>
        <w:rPr>
          <w:rFonts w:ascii="Times New Roman" w:hAnsi="Times New Roman"/>
          <w:sz w:val="24"/>
          <w:szCs w:val="24"/>
        </w:rPr>
        <w:t xml:space="preserve"> состоялось за</w:t>
      </w:r>
      <w:r>
        <w:rPr>
          <w:rFonts w:ascii="Times New Roman" w:hAnsi="Times New Roman"/>
          <w:sz w:val="24"/>
          <w:szCs w:val="24"/>
        </w:rPr>
        <w:t xml:space="preserve">седание Комиссии Отделения Фонда пенсионного и социального страхования Российской Федерации по Республике Хакасия (далее – ОСФР по Республике Хакасия) по соблюдению требований к служебному поведению и урегулированию конфликта интересов (далее – Комиссия). </w:t>
      </w:r>
      <w:r>
        <w:rPr>
          <w:rFonts w:ascii="Times New Roman" w:hAnsi="Times New Roman"/>
          <w:sz w:val="24"/>
          <w:szCs w:val="24"/>
        </w:rPr>
      </w:r>
    </w:p>
    <w:p>
      <w:pPr>
        <w:pStyle w:val="674"/>
        <w:pBdr/>
        <w:spacing w:after="0" w:before="0" w:line="240" w:lineRule="auto"/>
        <w:ind w:firstLine="709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заседании Комиссии рассматривалось </w:t>
      </w:r>
      <w:r>
        <w:rPr>
          <w:rFonts w:ascii="Times New Roman" w:hAnsi="Times New Roman" w:eastAsia="Times New Roman"/>
          <w:sz w:val="24"/>
          <w:szCs w:val="24"/>
        </w:rPr>
        <w:t xml:space="preserve">уведомление, поступившее от работника ОСФР по Республике Хакасия </w:t>
      </w:r>
      <w:r>
        <w:rPr>
          <w:rFonts w:ascii="Times New Roman" w:hAnsi="Times New Roman"/>
          <w:sz w:val="24"/>
          <w:szCs w:val="24"/>
        </w:rPr>
        <w:t xml:space="preserve">о возникновении личной заинтересованности при исполнении должностных обязанностей, которая приводит или может привести к конфликту интересов. </w:t>
      </w:r>
      <w:r>
        <w:rPr>
          <w:rFonts w:ascii="Times New Roman" w:hAnsi="Times New Roman" w:eastAsia="Times New Roman"/>
          <w:sz w:val="24"/>
          <w:szCs w:val="24"/>
        </w:rPr>
      </w:r>
    </w:p>
    <w:p>
      <w:pPr>
        <w:pStyle w:val="674"/>
        <w:pBdr/>
        <w:spacing w:after="0" w:before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результатам рассмотрения Комиссией уведомления, было принято решение признать, что при исполнении работником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ОСФР по Республике Хакасия</w:t>
      </w:r>
      <w:r>
        <w:rPr>
          <w:rFonts w:ascii="Times New Roman" w:hAnsi="Times New Roman" w:cs="Times New Roman"/>
          <w:sz w:val="24"/>
          <w:szCs w:val="24"/>
        </w:rPr>
        <w:t xml:space="preserve"> должностных обязанностей, личная заинтересованность имеется и могла привести к конфликту интересов. В свою очередь, для исключения конфликта интересов работник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принял надлежащие меры по исключению личной</w:t>
      </w:r>
      <w:r>
        <w:rPr>
          <w:rFonts w:ascii="Times New Roman" w:hAnsi="Times New Roman" w:cs="Times New Roman"/>
          <w:sz w:val="24"/>
          <w:szCs w:val="24"/>
        </w:rPr>
        <w:t xml:space="preserve"> заинтересованности путем представления уведомления о возникновении личной заинтересованности при исполнении должностных обязанностей. Работнику рекомендовано принять все меры по недопущению любой возможности возникновения конфликта интересов в дальнейшем.</w:t>
      </w:r>
      <w:r>
        <w:rPr>
          <w:rFonts w:ascii="Times New Roman" w:hAnsi="Times New Roman"/>
          <w:sz w:val="24"/>
          <w:szCs w:val="24"/>
        </w:rPr>
      </w:r>
    </w:p>
    <w:p>
      <w:pPr>
        <w:pStyle w:val="674"/>
        <w:pBdr/>
        <w:spacing w:after="0" w:before="0" w:line="240" w:lineRule="auto"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89"/>
        <w:pBdr/>
        <w:spacing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13.0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2.2025 г.</w:t>
      </w:r>
      <w:r>
        <w:rPr>
          <w:rFonts w:ascii="Times New Roman" w:hAnsi="Times New Roman"/>
          <w:sz w:val="24"/>
          <w:szCs w:val="24"/>
        </w:rPr>
        <w:t xml:space="preserve"> состоялось за</w:t>
      </w:r>
      <w:r>
        <w:rPr>
          <w:rFonts w:ascii="Times New Roman" w:hAnsi="Times New Roman"/>
          <w:sz w:val="24"/>
          <w:szCs w:val="24"/>
        </w:rPr>
        <w:t xml:space="preserve">седание Комиссии Отделения Фонда пенсионного и социального страхования Российской Федерации по Республике Хакасия (далее – ОСФР по Республике Хакасия) по соблюдению требований к служебному поведению и урегулированию конфликта интересов (далее – Комиссия).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74"/>
        <w:pBdr/>
        <w:spacing w:after="0" w:before="0" w:line="240" w:lineRule="auto"/>
        <w:ind w:firstLine="709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заседании Комиссии рассматривалось </w:t>
      </w:r>
      <w:r>
        <w:rPr>
          <w:rFonts w:ascii="Times New Roman" w:hAnsi="Times New Roman" w:eastAsia="Times New Roman"/>
          <w:sz w:val="24"/>
          <w:szCs w:val="24"/>
        </w:rPr>
        <w:t xml:space="preserve">уведомление, поступившее от работника ОСФР по Республике Хакасия </w:t>
      </w:r>
      <w:r>
        <w:rPr>
          <w:rFonts w:ascii="Times New Roman" w:hAnsi="Times New Roman"/>
          <w:sz w:val="24"/>
          <w:szCs w:val="24"/>
        </w:rPr>
        <w:t xml:space="preserve">о возникновении личной заинтересованности при исполнении должностных обязанностей, которая приводит или может привести к конфликту интересов. </w:t>
      </w:r>
      <w:r>
        <w:rPr>
          <w:rFonts w:ascii="Times New Roman" w:hAnsi="Times New Roman" w:eastAsia="Times New Roman"/>
          <w:sz w:val="24"/>
          <w:szCs w:val="24"/>
        </w:rPr>
      </w:r>
      <w:r>
        <w:rPr>
          <w:rFonts w:ascii="Times New Roman" w:hAnsi="Times New Roman" w:eastAsia="Times New Roman"/>
          <w:sz w:val="24"/>
          <w:szCs w:val="24"/>
        </w:rPr>
      </w:r>
    </w:p>
    <w:p>
      <w:pPr>
        <w:pStyle w:val="674"/>
        <w:pBdr/>
        <w:spacing w:after="0" w:before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результатам рассмотрения Комиссией уведомления, было принято решение признать, что при исполнении работником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ОСФР по Республике Хакасия</w:t>
      </w:r>
      <w:r>
        <w:rPr>
          <w:rFonts w:ascii="Times New Roman" w:hAnsi="Times New Roman" w:cs="Times New Roman"/>
          <w:sz w:val="24"/>
          <w:szCs w:val="24"/>
        </w:rPr>
        <w:t xml:space="preserve"> должностных обязанностей, личная заинтересованность имеется и могла привести к конфликту интересов. В свою очередь, для исключения конфликта интересов работник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принял надлежащие меры по исключению личной</w:t>
      </w:r>
      <w:r>
        <w:rPr>
          <w:rFonts w:ascii="Times New Roman" w:hAnsi="Times New Roman" w:cs="Times New Roman"/>
          <w:sz w:val="24"/>
          <w:szCs w:val="24"/>
        </w:rPr>
        <w:t xml:space="preserve"> заинтересованности путем представления уведомления о возникновении личной заинтересованности при исполнении должностных обязанностей. Работнику рекомендовано принять все меры по недопущению любой возможности возникновения конфликта интересов в дальнейшем.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74"/>
        <w:pBdr/>
        <w:spacing w:after="0" w:before="0" w:line="240" w:lineRule="auto"/>
        <w:ind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pStyle w:val="689"/>
        <w:pBdr/>
        <w:spacing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13.0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3.2025 г.</w:t>
      </w:r>
      <w:r>
        <w:rPr>
          <w:rFonts w:ascii="Times New Roman" w:hAnsi="Times New Roman"/>
          <w:sz w:val="24"/>
          <w:szCs w:val="24"/>
        </w:rPr>
        <w:t xml:space="preserve"> состоялось за</w:t>
      </w:r>
      <w:r>
        <w:rPr>
          <w:rFonts w:ascii="Times New Roman" w:hAnsi="Times New Roman"/>
          <w:sz w:val="24"/>
          <w:szCs w:val="24"/>
        </w:rPr>
        <w:t xml:space="preserve">седание Комиссии Отделения Фонда пенсионного и социального страхования Российской Федерации по Республике Хакасия (далее – ОСФР по Республике Хакасия) по соблюдению требований к служебному поведению и урегулированию конфликта интересов (далее – Комиссия).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74"/>
        <w:pBdr/>
        <w:spacing w:after="0" w:before="0" w:line="240" w:lineRule="auto"/>
        <w:ind w:firstLine="709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заседании Комиссии рассматривалось </w:t>
      </w:r>
      <w:r>
        <w:rPr>
          <w:rFonts w:ascii="Times New Roman" w:hAnsi="Times New Roman" w:eastAsia="Times New Roman"/>
          <w:sz w:val="24"/>
          <w:szCs w:val="24"/>
        </w:rPr>
        <w:t xml:space="preserve">уведомление, поступившее от работника ОСФР по Республике Хакасия </w:t>
      </w:r>
      <w:r>
        <w:rPr>
          <w:rFonts w:ascii="Times New Roman" w:hAnsi="Times New Roman"/>
          <w:sz w:val="24"/>
          <w:szCs w:val="24"/>
        </w:rPr>
        <w:t xml:space="preserve">о возникновении личной заинтересованности при исполнении должностных обязанностей, которая приводит или может привести к конфликту интересов. </w:t>
      </w:r>
      <w:r>
        <w:rPr>
          <w:rFonts w:ascii="Times New Roman" w:hAnsi="Times New Roman" w:eastAsia="Times New Roman"/>
          <w:sz w:val="24"/>
          <w:szCs w:val="24"/>
        </w:rPr>
      </w:r>
      <w:r>
        <w:rPr>
          <w:rFonts w:ascii="Times New Roman" w:hAnsi="Times New Roman" w:eastAsia="Times New Roman"/>
          <w:sz w:val="24"/>
          <w:szCs w:val="24"/>
        </w:rPr>
      </w:r>
    </w:p>
    <w:p>
      <w:pPr>
        <w:pStyle w:val="674"/>
        <w:pBdr/>
        <w:spacing w:after="0" w:before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результатам рассмотрения Комиссией уведомления, было принято решение признать, что при исполнении работником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ОСФР по Республике Хакасия</w:t>
      </w:r>
      <w:r>
        <w:rPr>
          <w:rFonts w:ascii="Times New Roman" w:hAnsi="Times New Roman" w:cs="Times New Roman"/>
          <w:sz w:val="24"/>
          <w:szCs w:val="24"/>
        </w:rPr>
        <w:t xml:space="preserve"> должностных обязанностей, личная заинтересованность имеется и могла привести к конфликту интересов. В свою очередь, для исключения конфликта интересов работник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принял надлежащие меры по исключению личной</w:t>
      </w:r>
      <w:r>
        <w:rPr>
          <w:rFonts w:ascii="Times New Roman" w:hAnsi="Times New Roman" w:cs="Times New Roman"/>
          <w:sz w:val="24"/>
          <w:szCs w:val="24"/>
        </w:rPr>
        <w:t xml:space="preserve"> заинтересованности путем представления уведомления о возникновении личной заинтересованности при исполнении должностных обязанностей. Работнику рекомендовано принять все меры по недопущению любой возможности возникновения конфликта интересов в дальнейшем.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674"/>
        <w:pBdr/>
        <w:spacing w:after="0" w:before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erReference w:type="default" r:id="rId8"/>
      <w:footnotePr/>
      <w:endnotePr/>
      <w:type w:val="nextPage"/>
      <w:pgSz w:h="16838" w:orient="portrait" w:w="11906"/>
      <w:pgMar w:top="1134" w:right="1134" w:bottom="568" w:left="1701" w:header="0" w:footer="0" w:gutter="0"/>
      <w:cols w:num="1" w:sep="0" w:space="1701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6040504020204"/>
  </w:font>
  <w:font w:name="Times New Roman">
    <w:panose1 w:val="02020603050405020304"/>
  </w:font>
  <w:font w:name="Noto Sans">
    <w:panose1 w:val="020B0502040504020204"/>
  </w:font>
  <w:font w:name="Liberation Sans">
    <w:panose1 w:val="020B06040202020202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88"/>
      <w:pBdr/>
      <w:spacing/>
      <w:ind/>
      <w:jc w:val="center"/>
      <w:rPr/>
    </w:pPr>
    <w:r/>
    <w:r/>
  </w:p>
  <w:p>
    <w:pPr>
      <w:pStyle w:val="688"/>
      <w:pBdr/>
      <w:spacing/>
      <w:ind/>
      <w:rPr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11">
    <w:name w:val="Table Grid"/>
    <w:basedOn w:val="691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">
    <w:name w:val="Table Grid Light"/>
    <w:basedOn w:val="69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">
    <w:name w:val="Plain Table 1"/>
    <w:basedOn w:val="69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">
    <w:name w:val="Plain Table 2"/>
    <w:basedOn w:val="69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">
    <w:name w:val="Plain Table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">
    <w:name w:val="Plain Table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">
    <w:name w:val="Plain Table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8">
    <w:name w:val="Grid Table 1 Light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9">
    <w:name w:val="Grid Table 1 Light 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0">
    <w:name w:val="Grid Table 1 Light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1">
    <w:name w:val="Grid Table 1 Light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2">
    <w:name w:val="Grid Table 1 Light 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3">
    <w:name w:val="Grid Table 1 Light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4">
    <w:name w:val="Grid Table 1 Light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5">
    <w:name w:val="Grid Table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6">
    <w:name w:val="Grid Table 2 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7">
    <w:name w:val="Grid Table 2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8">
    <w:name w:val="Grid Table 2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9">
    <w:name w:val="Grid Table 2 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0">
    <w:name w:val="Grid Table 2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1">
    <w:name w:val="Grid Table 2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2">
    <w:name w:val="Grid Table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3">
    <w:name w:val="Grid Table 3 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4">
    <w:name w:val="Grid Table 3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5">
    <w:name w:val="Grid Table 3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6">
    <w:name w:val="Grid Table 3 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7">
    <w:name w:val="Grid Table 3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8">
    <w:name w:val="Grid Table 3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9">
    <w:name w:val="Grid Table 4"/>
    <w:basedOn w:val="69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0">
    <w:name w:val="Grid Table 4 - Accent 1"/>
    <w:basedOn w:val="69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2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2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1">
    <w:name w:val="Grid Table 4 - Accent 2"/>
    <w:basedOn w:val="69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2">
    <w:name w:val="Grid Table 4 - Accent 3"/>
    <w:basedOn w:val="69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3">
    <w:name w:val="Grid Table 4 - Accent 4"/>
    <w:basedOn w:val="69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4">
    <w:name w:val="Grid Table 4 - Accent 5"/>
    <w:basedOn w:val="69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5">
    <w:name w:val="Grid Table 4 - Accent 6"/>
    <w:basedOn w:val="69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6">
    <w:name w:val="Grid Table 5 Dark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7">
    <w:name w:val="Grid Table 5 Dark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be5f2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aec5e1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aec5e1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8">
    <w:name w:val="Grid Table 5 Dark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3dddc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e2afad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e2afad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Grid Table 5 Dark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bf1d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1e0b3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1e0b3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Grid Table 5 Dark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c5b8d4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c5b8d4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Grid Table 5 Dark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cd9e5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cd9e5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Grid Table 5 Dark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a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fbcfaa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fbcfaa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Grid Table 6 Colorful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Grid Table 6 Colorful 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6 Colorful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6 Colorful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6 Colorful 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6 Colorful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6 Colorful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7 Colorful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7 Colorful 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rPr>
        <w:rFonts w:ascii="Arial" w:hAnsi="Arial"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e6da5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7 Colorful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7 Colorful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rPr>
        <w:rFonts w:ascii="Arial" w:hAnsi="Arial"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c732f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7 Colorful 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7 Colorful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66879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7 Colorful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rPr>
        <w:rFonts w:ascii="Arial" w:hAnsi="Arial"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b25408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List Table 1 Light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List Table 1 Light 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List Table 1 Light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List Table 1 Light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List Table 1 Light 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List Table 1 Light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List Table 1 Light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List Table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List Table 2 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List Table 2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List Table 2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List Table 2 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List Table 2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List Table 2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List Table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List Table 3 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List Table 3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List Table 3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List Table 3 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List Table 3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List Table 3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List Table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List Table 4 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List Table 4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List Table 4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List Table 4 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List Table 4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List Table 4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List Table 5 Dark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List Table 5 Dark 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List Table 5 Dark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a9796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List Table 5 Dark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c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List Table 5 Dark 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7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List Table 5 Dark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2cddd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List Table 5 Dark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ac091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List Table 6 Colorful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List Table 6 Colorful 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6 Colorful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6 Colorful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6 Colorful 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6 Colorful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6 Colorful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7 Colorful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7 Colorful 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b4b72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7 Colorful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7 Colorful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7 Colorful 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7 Colorful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7 Colorful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ned - Accent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ned - Accent 1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ned - Accent 2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ned - Accent 3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ned - Accent 4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ned - Accent 5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ned - Accent 6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Bordered &amp; Lined - Accent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Bordered &amp; Lined - Accent 1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Bordered &amp; Lined - Accent 2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Bordered &amp; Lined - Accent 3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Bordered &amp; Lined - Accent 4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Bordered &amp; Lined - Accent 5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Bordered &amp; Lined - Accent 6"/>
    <w:basedOn w:val="69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Bordered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Bordered - Accent 1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Bordered - Accent 2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Bordered - Accent 3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Bordered - Accent 4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Bordered - Accent 5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Bordered - Accent 6"/>
    <w:basedOn w:val="69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38">
    <w:name w:val="Heading 1"/>
    <w:basedOn w:val="674"/>
    <w:next w:val="674"/>
    <w:link w:val="149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139">
    <w:name w:val="Heading 2"/>
    <w:basedOn w:val="674"/>
    <w:next w:val="674"/>
    <w:link w:val="150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140">
    <w:name w:val="Heading 3"/>
    <w:basedOn w:val="674"/>
    <w:next w:val="674"/>
    <w:link w:val="151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141">
    <w:name w:val="Heading 4"/>
    <w:basedOn w:val="674"/>
    <w:next w:val="674"/>
    <w:link w:val="152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142">
    <w:name w:val="Heading 5"/>
    <w:basedOn w:val="674"/>
    <w:next w:val="674"/>
    <w:link w:val="153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143">
    <w:name w:val="Heading 6"/>
    <w:basedOn w:val="674"/>
    <w:next w:val="674"/>
    <w:link w:val="154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144">
    <w:name w:val="Heading 7"/>
    <w:basedOn w:val="674"/>
    <w:next w:val="674"/>
    <w:link w:val="155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145">
    <w:name w:val="Heading 8"/>
    <w:basedOn w:val="674"/>
    <w:next w:val="674"/>
    <w:link w:val="156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146">
    <w:name w:val="Heading 9"/>
    <w:basedOn w:val="674"/>
    <w:next w:val="674"/>
    <w:link w:val="157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149">
    <w:name w:val="Heading 1 Char"/>
    <w:basedOn w:val="675"/>
    <w:link w:val="138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150">
    <w:name w:val="Heading 2 Char"/>
    <w:basedOn w:val="675"/>
    <w:link w:val="13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151">
    <w:name w:val="Heading 3 Char"/>
    <w:basedOn w:val="675"/>
    <w:link w:val="140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152">
    <w:name w:val="Heading 4 Char"/>
    <w:basedOn w:val="675"/>
    <w:link w:val="141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153">
    <w:name w:val="Heading 5 Char"/>
    <w:basedOn w:val="675"/>
    <w:link w:val="142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154">
    <w:name w:val="Heading 6 Char"/>
    <w:basedOn w:val="675"/>
    <w:link w:val="143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155">
    <w:name w:val="Heading 7 Char"/>
    <w:basedOn w:val="675"/>
    <w:link w:val="144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156">
    <w:name w:val="Heading 8 Char"/>
    <w:basedOn w:val="675"/>
    <w:link w:val="145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157">
    <w:name w:val="Heading 9 Char"/>
    <w:basedOn w:val="675"/>
    <w:link w:val="146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158">
    <w:name w:val="Title"/>
    <w:basedOn w:val="674"/>
    <w:next w:val="674"/>
    <w:link w:val="159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159">
    <w:name w:val="Title Char"/>
    <w:basedOn w:val="675"/>
    <w:link w:val="158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160">
    <w:name w:val="Subtitle"/>
    <w:basedOn w:val="674"/>
    <w:next w:val="674"/>
    <w:link w:val="161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161">
    <w:name w:val="Subtitle Char"/>
    <w:basedOn w:val="675"/>
    <w:link w:val="160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162">
    <w:name w:val="Quote"/>
    <w:basedOn w:val="674"/>
    <w:next w:val="674"/>
    <w:link w:val="163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163">
    <w:name w:val="Quote Char"/>
    <w:basedOn w:val="675"/>
    <w:link w:val="162"/>
    <w:uiPriority w:val="29"/>
    <w:pPr>
      <w:pBdr/>
      <w:spacing/>
      <w:ind/>
    </w:pPr>
    <w:rPr>
      <w:i/>
      <w:iCs/>
      <w:color w:val="404040" w:themeColor="text1" w:themeTint="BF"/>
    </w:rPr>
  </w:style>
  <w:style w:type="paragraph" w:styleId="164">
    <w:name w:val="List Paragraph"/>
    <w:basedOn w:val="674"/>
    <w:uiPriority w:val="34"/>
    <w:qFormat/>
    <w:pPr>
      <w:pBdr/>
      <w:spacing/>
      <w:ind w:left="720"/>
      <w:contextualSpacing w:val="true"/>
    </w:pPr>
  </w:style>
  <w:style w:type="character" w:styleId="165">
    <w:name w:val="Intense Emphasis"/>
    <w:basedOn w:val="675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166">
    <w:name w:val="Intense Quote"/>
    <w:basedOn w:val="674"/>
    <w:next w:val="674"/>
    <w:link w:val="167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167">
    <w:name w:val="Intense Quote Char"/>
    <w:basedOn w:val="675"/>
    <w:link w:val="166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168">
    <w:name w:val="Intense Reference"/>
    <w:basedOn w:val="675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170">
    <w:name w:val="Subtle Emphasis"/>
    <w:basedOn w:val="675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71">
    <w:name w:val="Emphasis"/>
    <w:basedOn w:val="675"/>
    <w:uiPriority w:val="20"/>
    <w:qFormat/>
    <w:pPr>
      <w:pBdr/>
      <w:spacing/>
      <w:ind/>
    </w:pPr>
    <w:rPr>
      <w:i/>
      <w:iCs/>
    </w:rPr>
  </w:style>
  <w:style w:type="character" w:styleId="172">
    <w:name w:val="Strong"/>
    <w:basedOn w:val="675"/>
    <w:uiPriority w:val="22"/>
    <w:qFormat/>
    <w:pPr>
      <w:pBdr/>
      <w:spacing/>
      <w:ind/>
    </w:pPr>
    <w:rPr>
      <w:b/>
      <w:bCs/>
    </w:rPr>
  </w:style>
  <w:style w:type="character" w:styleId="173">
    <w:name w:val="Subtle Reference"/>
    <w:basedOn w:val="675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74">
    <w:name w:val="Book Title"/>
    <w:basedOn w:val="675"/>
    <w:uiPriority w:val="33"/>
    <w:qFormat/>
    <w:pPr>
      <w:pBdr/>
      <w:spacing/>
      <w:ind/>
    </w:pPr>
    <w:rPr>
      <w:b/>
      <w:bCs/>
      <w:i/>
      <w:iCs/>
      <w:spacing w:val="5"/>
    </w:rPr>
  </w:style>
  <w:style w:type="character" w:styleId="176">
    <w:name w:val="Header Char"/>
    <w:basedOn w:val="675"/>
    <w:link w:val="687"/>
    <w:uiPriority w:val="99"/>
    <w:pPr>
      <w:pBdr/>
      <w:spacing/>
      <w:ind/>
    </w:pPr>
  </w:style>
  <w:style w:type="character" w:styleId="178">
    <w:name w:val="Footer Char"/>
    <w:basedOn w:val="675"/>
    <w:link w:val="688"/>
    <w:uiPriority w:val="99"/>
    <w:pPr>
      <w:pBdr/>
      <w:spacing/>
      <w:ind/>
    </w:pPr>
  </w:style>
  <w:style w:type="paragraph" w:styleId="180">
    <w:name w:val="footnote text"/>
    <w:basedOn w:val="674"/>
    <w:link w:val="181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1">
    <w:name w:val="Footnote Text Char"/>
    <w:basedOn w:val="675"/>
    <w:link w:val="180"/>
    <w:uiPriority w:val="99"/>
    <w:semiHidden/>
    <w:pPr>
      <w:pBdr/>
      <w:spacing/>
      <w:ind/>
    </w:pPr>
    <w:rPr>
      <w:sz w:val="20"/>
      <w:szCs w:val="20"/>
    </w:rPr>
  </w:style>
  <w:style w:type="character" w:styleId="182">
    <w:name w:val="footnote reference"/>
    <w:basedOn w:val="675"/>
    <w:uiPriority w:val="99"/>
    <w:semiHidden/>
    <w:unhideWhenUsed/>
    <w:pPr>
      <w:pBdr/>
      <w:spacing/>
      <w:ind/>
    </w:pPr>
    <w:rPr>
      <w:vertAlign w:val="superscript"/>
    </w:rPr>
  </w:style>
  <w:style w:type="paragraph" w:styleId="183">
    <w:name w:val="endnote text"/>
    <w:basedOn w:val="674"/>
    <w:link w:val="184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4">
    <w:name w:val="Endnote Text Char"/>
    <w:basedOn w:val="675"/>
    <w:link w:val="183"/>
    <w:uiPriority w:val="99"/>
    <w:semiHidden/>
    <w:pPr>
      <w:pBdr/>
      <w:spacing/>
      <w:ind/>
    </w:pPr>
    <w:rPr>
      <w:sz w:val="20"/>
      <w:szCs w:val="20"/>
    </w:rPr>
  </w:style>
  <w:style w:type="character" w:styleId="185">
    <w:name w:val="endnote reference"/>
    <w:basedOn w:val="675"/>
    <w:uiPriority w:val="99"/>
    <w:semiHidden/>
    <w:unhideWhenUsed/>
    <w:pPr>
      <w:pBdr/>
      <w:spacing/>
      <w:ind/>
    </w:pPr>
    <w:rPr>
      <w:vertAlign w:val="superscript"/>
    </w:rPr>
  </w:style>
  <w:style w:type="character" w:styleId="186">
    <w:name w:val="Hyperlink"/>
    <w:basedOn w:val="675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187">
    <w:name w:val="FollowedHyperlink"/>
    <w:basedOn w:val="675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88">
    <w:name w:val="toc 1"/>
    <w:basedOn w:val="674"/>
    <w:next w:val="674"/>
    <w:uiPriority w:val="39"/>
    <w:unhideWhenUsed/>
    <w:pPr>
      <w:pBdr/>
      <w:spacing w:after="100"/>
      <w:ind/>
    </w:pPr>
  </w:style>
  <w:style w:type="paragraph" w:styleId="189">
    <w:name w:val="toc 2"/>
    <w:basedOn w:val="674"/>
    <w:next w:val="674"/>
    <w:uiPriority w:val="39"/>
    <w:unhideWhenUsed/>
    <w:pPr>
      <w:pBdr/>
      <w:spacing w:after="100"/>
      <w:ind w:left="220"/>
    </w:pPr>
  </w:style>
  <w:style w:type="paragraph" w:styleId="190">
    <w:name w:val="toc 3"/>
    <w:basedOn w:val="674"/>
    <w:next w:val="674"/>
    <w:uiPriority w:val="39"/>
    <w:unhideWhenUsed/>
    <w:pPr>
      <w:pBdr/>
      <w:spacing w:after="100"/>
      <w:ind w:left="440"/>
    </w:pPr>
  </w:style>
  <w:style w:type="paragraph" w:styleId="191">
    <w:name w:val="toc 4"/>
    <w:basedOn w:val="674"/>
    <w:next w:val="674"/>
    <w:uiPriority w:val="39"/>
    <w:unhideWhenUsed/>
    <w:pPr>
      <w:pBdr/>
      <w:spacing w:after="100"/>
      <w:ind w:left="660"/>
    </w:pPr>
  </w:style>
  <w:style w:type="paragraph" w:styleId="192">
    <w:name w:val="toc 5"/>
    <w:basedOn w:val="674"/>
    <w:next w:val="674"/>
    <w:uiPriority w:val="39"/>
    <w:unhideWhenUsed/>
    <w:pPr>
      <w:pBdr/>
      <w:spacing w:after="100"/>
      <w:ind w:left="880"/>
    </w:pPr>
  </w:style>
  <w:style w:type="paragraph" w:styleId="193">
    <w:name w:val="toc 6"/>
    <w:basedOn w:val="674"/>
    <w:next w:val="674"/>
    <w:uiPriority w:val="39"/>
    <w:unhideWhenUsed/>
    <w:pPr>
      <w:pBdr/>
      <w:spacing w:after="100"/>
      <w:ind w:left="1100"/>
    </w:pPr>
  </w:style>
  <w:style w:type="paragraph" w:styleId="194">
    <w:name w:val="toc 7"/>
    <w:basedOn w:val="674"/>
    <w:next w:val="674"/>
    <w:uiPriority w:val="39"/>
    <w:unhideWhenUsed/>
    <w:pPr>
      <w:pBdr/>
      <w:spacing w:after="100"/>
      <w:ind w:left="1320"/>
    </w:pPr>
  </w:style>
  <w:style w:type="paragraph" w:styleId="195">
    <w:name w:val="toc 8"/>
    <w:basedOn w:val="674"/>
    <w:next w:val="674"/>
    <w:uiPriority w:val="39"/>
    <w:unhideWhenUsed/>
    <w:pPr>
      <w:pBdr/>
      <w:spacing w:after="100"/>
      <w:ind w:left="1540"/>
    </w:pPr>
  </w:style>
  <w:style w:type="paragraph" w:styleId="196">
    <w:name w:val="toc 9"/>
    <w:basedOn w:val="674"/>
    <w:next w:val="674"/>
    <w:uiPriority w:val="39"/>
    <w:unhideWhenUsed/>
    <w:pPr>
      <w:pBdr/>
      <w:spacing w:after="100"/>
      <w:ind w:left="1760"/>
    </w:pPr>
  </w:style>
  <w:style w:type="paragraph" w:styleId="206">
    <w:name w:val="TOC Heading"/>
    <w:uiPriority w:val="39"/>
    <w:unhideWhenUsed/>
    <w:pPr>
      <w:pBdr/>
      <w:spacing/>
      <w:ind/>
    </w:pPr>
  </w:style>
  <w:style w:type="paragraph" w:styleId="207">
    <w:name w:val="table of figures"/>
    <w:basedOn w:val="674"/>
    <w:next w:val="674"/>
    <w:uiPriority w:val="99"/>
    <w:unhideWhenUsed/>
    <w:pPr>
      <w:pBdr/>
      <w:spacing w:after="0" w:afterAutospacing="0"/>
      <w:ind/>
    </w:pPr>
  </w:style>
  <w:style w:type="paragraph" w:styleId="674" w:default="1">
    <w:name w:val="Normal"/>
    <w:qFormat/>
    <w:pPr>
      <w:widowControl w:val="true"/>
      <w:pBdr/>
      <w:bidi w:val="false"/>
      <w:spacing w:after="200" w:before="0" w:line="276" w:lineRule="auto"/>
      <w:ind/>
      <w:jc w:val="left"/>
    </w:pPr>
    <w:rPr>
      <w:rFonts w:ascii="Calibri" w:hAnsi="Calibri" w:eastAsia="Calibri" w:asciiTheme="minorHAnsi" w:hAnsiTheme="minorHAnsi" w:eastAsiaTheme="minorHAnsi" w:cstheme="minorBidi"/>
      <w:color w:val="auto"/>
      <w:sz w:val="22"/>
      <w:szCs w:val="22"/>
      <w:lang w:val="ru-RU" w:eastAsia="en-US" w:bidi="ar-SA"/>
    </w:rPr>
  </w:style>
  <w:style w:type="character" w:styleId="675" w:default="1">
    <w:name w:val="Default Paragraph Font"/>
    <w:uiPriority w:val="1"/>
    <w:semiHidden/>
    <w:unhideWhenUsed/>
    <w:qFormat/>
    <w:pPr>
      <w:pBdr/>
      <w:spacing/>
      <w:ind/>
    </w:pPr>
  </w:style>
  <w:style w:type="character" w:styleId="676" w:customStyle="1">
    <w:name w:val="Верхний колонтитул Знак"/>
    <w:basedOn w:val="675"/>
    <w:uiPriority w:val="99"/>
    <w:semiHidden/>
    <w:qFormat/>
    <w:pPr>
      <w:pBdr/>
      <w:spacing/>
      <w:ind/>
    </w:pPr>
  </w:style>
  <w:style w:type="character" w:styleId="677" w:customStyle="1">
    <w:name w:val="Нижний колонтитул Знак"/>
    <w:basedOn w:val="675"/>
    <w:uiPriority w:val="99"/>
    <w:qFormat/>
    <w:pPr>
      <w:pBdr/>
      <w:spacing/>
      <w:ind/>
    </w:pPr>
  </w:style>
  <w:style w:type="paragraph" w:styleId="678">
    <w:name w:val="Заголовок"/>
    <w:basedOn w:val="674"/>
    <w:next w:val="679"/>
    <w:qFormat/>
    <w:pPr>
      <w:keepNext w:val="true"/>
      <w:pBdr/>
      <w:spacing w:after="120" w:before="240"/>
      <w:ind/>
    </w:pPr>
    <w:rPr>
      <w:rFonts w:ascii="Liberation Sans" w:hAnsi="Liberation Sans" w:eastAsia="Noto Sans" w:cs="Noto Sans"/>
      <w:sz w:val="28"/>
      <w:szCs w:val="28"/>
    </w:rPr>
  </w:style>
  <w:style w:type="paragraph" w:styleId="679">
    <w:name w:val="Body Text"/>
    <w:basedOn w:val="674"/>
    <w:pPr>
      <w:pBdr/>
      <w:spacing w:after="140" w:before="0" w:line="276" w:lineRule="auto"/>
      <w:ind/>
    </w:pPr>
  </w:style>
  <w:style w:type="paragraph" w:styleId="680">
    <w:name w:val="List"/>
    <w:basedOn w:val="679"/>
    <w:pPr>
      <w:pBdr/>
      <w:spacing/>
      <w:ind/>
    </w:pPr>
  </w:style>
  <w:style w:type="paragraph" w:styleId="681">
    <w:name w:val="Caption"/>
    <w:basedOn w:val="674"/>
    <w:qFormat/>
    <w:pPr>
      <w:suppressLineNumbers w:val="true"/>
      <w:pBdr/>
      <w:spacing w:after="120" w:before="120"/>
      <w:ind/>
    </w:pPr>
    <w:rPr>
      <w:i/>
      <w:iCs/>
      <w:sz w:val="24"/>
      <w:szCs w:val="24"/>
    </w:rPr>
  </w:style>
  <w:style w:type="paragraph" w:styleId="682">
    <w:name w:val="Указатель"/>
    <w:basedOn w:val="674"/>
    <w:qFormat/>
    <w:pPr>
      <w:suppressLineNumbers w:val="true"/>
      <w:pBdr/>
      <w:spacing/>
      <w:ind/>
    </w:pPr>
  </w:style>
  <w:style w:type="paragraph" w:styleId="683" w:customStyle="1">
    <w:name w:val="ConsPlusNormal"/>
    <w:qFormat/>
    <w:pPr>
      <w:widowControl w:val="false"/>
      <w:pBdr/>
      <w:bidi w:val="false"/>
      <w:spacing w:after="0" w:before="0" w:line="240" w:lineRule="auto"/>
      <w:ind/>
      <w:jc w:val="left"/>
    </w:pPr>
    <w:rPr>
      <w:rFonts w:ascii="Calibri" w:hAnsi="Calibri" w:eastAsia="Times New Roman" w:cs="Calibri" w:asciiTheme="minorHAnsi" w:hAnsiTheme="minorHAnsi"/>
      <w:color w:val="auto"/>
      <w:sz w:val="22"/>
      <w:szCs w:val="20"/>
      <w:lang w:val="ru-RU" w:eastAsia="ru-RU" w:bidi="ar-SA"/>
    </w:rPr>
  </w:style>
  <w:style w:type="paragraph" w:styleId="684" w:customStyle="1">
    <w:name w:val="ConsPlusTitle"/>
    <w:qFormat/>
    <w:pPr>
      <w:widowControl w:val="false"/>
      <w:pBdr/>
      <w:bidi w:val="false"/>
      <w:spacing w:after="0" w:before="0" w:line="240" w:lineRule="auto"/>
      <w:ind/>
      <w:jc w:val="left"/>
    </w:pPr>
    <w:rPr>
      <w:rFonts w:ascii="Calibri" w:hAnsi="Calibri" w:eastAsia="Times New Roman" w:cs="Calibri" w:asciiTheme="minorHAnsi" w:hAnsiTheme="minorHAnsi"/>
      <w:b/>
      <w:color w:val="auto"/>
      <w:sz w:val="22"/>
      <w:szCs w:val="20"/>
      <w:lang w:val="ru-RU" w:eastAsia="ru-RU" w:bidi="ar-SA"/>
    </w:rPr>
  </w:style>
  <w:style w:type="paragraph" w:styleId="685" w:customStyle="1">
    <w:name w:val="ConsPlusTitlePage"/>
    <w:qFormat/>
    <w:pPr>
      <w:widowControl w:val="false"/>
      <w:pBdr/>
      <w:bidi w:val="false"/>
      <w:spacing w:after="0" w:before="0" w:line="240" w:lineRule="auto"/>
      <w:ind/>
      <w:jc w:val="left"/>
    </w:pPr>
    <w:rPr>
      <w:rFonts w:ascii="Tahoma" w:hAnsi="Tahoma" w:eastAsia="Times New Roman" w:cs="Tahoma"/>
      <w:color w:val="auto"/>
      <w:sz w:val="20"/>
      <w:szCs w:val="20"/>
      <w:lang w:val="ru-RU" w:eastAsia="ru-RU" w:bidi="ar-SA"/>
    </w:rPr>
  </w:style>
  <w:style w:type="paragraph" w:styleId="686">
    <w:name w:val="Колонтитул"/>
    <w:basedOn w:val="674"/>
    <w:qFormat/>
    <w:pPr>
      <w:pBdr/>
      <w:spacing/>
      <w:ind/>
    </w:pPr>
  </w:style>
  <w:style w:type="paragraph" w:styleId="687">
    <w:name w:val="Header"/>
    <w:basedOn w:val="674"/>
    <w:link w:val="676"/>
    <w:uiPriority w:val="99"/>
    <w:semiHidden/>
    <w:unhideWhenUsed/>
    <w:pPr>
      <w:pBdr/>
      <w:tabs>
        <w:tab w:val="clear" w:leader="none" w:pos="708"/>
        <w:tab w:val="center" w:leader="none" w:pos="4677"/>
        <w:tab w:val="right" w:leader="none" w:pos="9355"/>
      </w:tabs>
      <w:spacing w:after="0" w:before="0" w:line="240" w:lineRule="auto"/>
      <w:ind/>
    </w:pPr>
  </w:style>
  <w:style w:type="paragraph" w:styleId="688">
    <w:name w:val="Footer"/>
    <w:basedOn w:val="674"/>
    <w:link w:val="677"/>
    <w:uiPriority w:val="99"/>
    <w:unhideWhenUsed/>
    <w:pPr>
      <w:pBdr/>
      <w:tabs>
        <w:tab w:val="clear" w:leader="none" w:pos="708"/>
        <w:tab w:val="center" w:leader="none" w:pos="4677"/>
        <w:tab w:val="right" w:leader="none" w:pos="9355"/>
      </w:tabs>
      <w:spacing w:after="0" w:before="0" w:line="240" w:lineRule="auto"/>
      <w:ind/>
    </w:pPr>
  </w:style>
  <w:style w:type="paragraph" w:styleId="689">
    <w:name w:val="No Spacing"/>
    <w:uiPriority w:val="1"/>
    <w:qFormat/>
    <w:pPr>
      <w:widowControl w:val="true"/>
      <w:pBdr/>
      <w:bidi w:val="false"/>
      <w:spacing w:after="0" w:before="0" w:line="240" w:lineRule="auto"/>
      <w:ind/>
      <w:jc w:val="left"/>
    </w:pPr>
    <w:rPr>
      <w:rFonts w:ascii="Calibri" w:hAnsi="Calibri" w:eastAsia="Times New Roman" w:cs="Times New Roman" w:asciiTheme="minorHAnsi" w:hAnsiTheme="minorHAnsi"/>
      <w:color w:val="auto"/>
      <w:sz w:val="22"/>
      <w:szCs w:val="22"/>
      <w:lang w:val="ru-RU" w:eastAsia="ru-RU" w:bidi="ar-SA"/>
    </w:rPr>
  </w:style>
  <w:style w:type="numbering" w:styleId="690" w:default="1">
    <w:name w:val="No List"/>
    <w:uiPriority w:val="99"/>
    <w:semiHidden/>
    <w:unhideWhenUsed/>
    <w:qFormat/>
    <w:pPr>
      <w:pBdr/>
      <w:spacing/>
      <w:ind/>
    </w:pPr>
  </w:style>
  <w:style w:type="table" w:styleId="691" w:default="1">
    <w:name w:val="Normal Table"/>
    <w:uiPriority w:val="99"/>
    <w:semiHidden/>
    <w:unhideWhenUsed/>
    <w:pPr>
      <w:pBdr/>
      <w:spacing/>
      <w:ind/>
    </w:pPr>
    <w:tblPr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footer" Target="footer1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6C4D7B-5FD7-417D-B219-8D798CB04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Application>ONLYOFFICE/8.3.0.97</Application>
  <HeadingPairs>
    <vt:vector size="0" baseType="variant"/>
  </HeadingPairs>
  <TitlesOfParts>
    <vt:vector size="0" baseType="lpstr"/>
  </TitlesOfPart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</dc:creator>
  <dc:description/>
  <dc:language>ru-RU</dc:language>
  <cp:revision>39</cp:revision>
  <dcterms:created xsi:type="dcterms:W3CDTF">2023-04-05T06:22:00Z</dcterms:created>
  <dcterms:modified xsi:type="dcterms:W3CDTF">2025-04-07T04:14:24Z</dcterms:modified>
</cp:coreProperties>
</file>