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7A1C1F" w:rsidRDefault="007A1C1F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4E4" w:rsidRDefault="00B724E4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Республики, воинских формированиях и органов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новании  сведений о присвоении звания 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771,55 - при получении полного набора соц. услуг в натуральном выражении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Граждане Российской Федерации, признанные в установленном порядке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 xml:space="preserve">ной военной операции на территориях Украины, 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установления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№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 группа - 24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II группа - 12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395,58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FB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- 4 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 xml:space="preserve">нии, в случае его гибели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формировании, инвалида) - при назначении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тракту о пребывании в добровольческом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соответств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 xml:space="preserve">питальный ремонт общего имущества в многоквартирном доме, коммунальных 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 xml:space="preserve">ходящихся на всех 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граждан, зарегистрир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цев - в размере, определенном исходя из размера начисленных платежей по оплате пользования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A0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0307F"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факте </w:t>
            </w:r>
            <w:proofErr w:type="gramStart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жащего, лица, проходившего службу в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дерации, учреждений и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1. Документ</w:t>
            </w:r>
            <w:r w:rsidR="004D0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2C2F21" w:rsidRPr="007F7D30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курортного леч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 в Це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трах реабилитации СФР и оплаты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 к месту лечения и обратно (в виде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пенсации  расходов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ствий из числа военн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служащих, проходивших военную службу в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оруженных Силах РФ,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находившихся на военной службе в войсках национальной гвардии РФ, в воинских формир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ваниях и органах,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ных в пункте 6 статьи 1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 обороне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, граждан,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званных на военную службу по мобилизации или заключивших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тракт в соответствии с пунктом 7 статьи 38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инской обязанности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военной службе» либо контракт о добровольном содействии в выполнении задач, возложенных на Вооруженные Силы РФ или войска национальной гвардии РФ, в период 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стия в специальной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операции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Украины, ДНР, ЛНР, Запорожской области и Херсонской области или в ходе вооруженной пров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кации на государственной границе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приграничных территориях субъектов Российской Федерации, прилегающих к районам проведения специальной военной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на 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 и ЛНР, а также 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подпунктах 2.2 - 2.4 пункта 1 статьи 3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«О вет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организации, направление на медицинскую реабилит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расходы на проезд (кассовые чеки, проездные док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менты);</w:t>
            </w:r>
          </w:p>
          <w:p w:rsidR="00FD79AD" w:rsidRPr="007F7D30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дарного года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2024. № 1960  «Об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утверждении Правил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наторно-курортному лечению, медицинской реабилитации 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части 10 статьи 7 Федеральн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2025 год и на плановый период 2026 и 2027 годов»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дов техническими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технические средства 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чить в натуральном виде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щего, работника, привлеченного лица, служащего, работника, выполняющего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, лицом, 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4D08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30.04.2022 № 247 «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 по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«О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лицам,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 (в равных 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жей и позиций, а также работника госуда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</w:t>
            </w:r>
            <w:proofErr w:type="gramEnd"/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7F7D30" w:rsidRDefault="004D087A" w:rsidP="000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единовременной выплаты с указанием реквизитов для пер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2. Копия документа, удостоверяющего 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и Херсонской областей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702CC2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о причинно-следственной 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между смертью лица, служащего, работника, выполнявшего работы по фо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Федерации от 19 октября 2022 г. № 756», а также членам их семей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ния ими возраста 18 лет, дети в возрасте до 23 лет, обучающиеся по очной форме обучения, лица,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ному оборудованию рубежей и позиций, а также работником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, на территориях 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BB10D8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предпринимателя;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70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29 декабря 2022 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нявшего работы по фортификационному оборудованию рубежей и позиций; </w:t>
            </w:r>
            <w:proofErr w:type="gramEnd"/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, на территориях субъектов Российской Федерации.</w:t>
            </w:r>
          </w:p>
          <w:p w:rsidR="00BB10D8" w:rsidRPr="007F7D30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лонтера) инвалидом III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Жена военнослужащего,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E8189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55 464,50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прохождении отцом ребенка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Предоставляется если  в период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прохождения военнослужащим военной службы по призыву (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E8189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894">
              <w:rPr>
                <w:rFonts w:ascii="Times New Roman" w:hAnsi="Times New Roman" w:cs="Times New Roman"/>
                <w:sz w:val="20"/>
                <w:szCs w:val="20"/>
              </w:rPr>
              <w:t>23 770,50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предоста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жизненного содержания судей, вышедших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циальной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Беременная женщина 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с месяца постановки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E81894" w:rsidRDefault="00E8189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13 134,98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189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445534" w:rsidRPr="00445534" w:rsidRDefault="00E8189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894">
              <w:rPr>
                <w:rFonts w:ascii="Times New Roman" w:hAnsi="Times New Roman" w:cs="Times New Roman"/>
                <w:sz w:val="20"/>
                <w:szCs w:val="20"/>
              </w:rPr>
              <w:t>13 134,98</w:t>
            </w: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пособий гражданам, имеющим детей»</w:t>
            </w:r>
          </w:p>
        </w:tc>
      </w:tr>
      <w:tr w:rsidR="00FD79AD" w:rsidTr="00B45B99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та в связи с рожден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ем (усыновлением) первого ребенка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Женщина, родившая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ребенка в период с 1 января 2018 года до 1 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варя 2023 года, либо отец, усыновитель или опекун ребенка в случае смерти женщины, отца (усынов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теля) или лишения их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дительских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2-кратную величину прожиточного минимума трудоспосо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населения, устано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ленного в субъекте 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Пособие назначается с учетом  доходов семьи, комплексная оценка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не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единого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100 % ПМ для детей, установленного в суб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екте РФ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Сведения о рождении в случае регистр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ции записи соответствующего акта комп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тентным органом иностранного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Сведения о смерти в случае регистрации записи соответствующего акта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органом иностранного государства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заключении (расторжении) брака в случае регистрации записи соо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ветствующего акта компетентным органом иностранного государства (в случае отсу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Сведения, содержащиеся в решении 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гана опеки и попечительства об установл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опеки или попечительства над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ком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ка, в отношении которого подано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6.Сведения о нахождении заявителя и (или) членов его семьи на полном государстве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ном обеспечении.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прохождении заявителем и (или) членами его семьи военной службы по призыву, а также о статусе военносл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жащего, обучающегося в военной профе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сиональной образовательной организации;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9. Сведения о нахождении заявителя и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доходах сотрудников М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к ним силовым ведомств.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11.Сведения о размере пенсии, получаемой сотрудниками Минобороны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к ним силовым ведомст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размере стипендии, выпл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чиваемой лицам, обучающимся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 в период их нахождения в академическом отпуске по медицинским показаниям;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случае если заявление о назн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чении ежемесячной выплаты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дано не позднее шести месяцев со дня рождения первого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ка, ежемесячная выплата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ществляется с месяца рождения ребенка.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ежемеся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осуществляется с месяца обращения за ее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нием.</w:t>
            </w:r>
          </w:p>
          <w:p w:rsidR="00FD79AD" w:rsidRPr="007F7D30" w:rsidRDefault="00FD79AD" w:rsidP="006D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(на срок до достижения ребенком возраста 1-го года, 2-х лет и 3-х лет)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28.12.2017 № 418-ФЗ «О ежемесячных выплатах семьям, им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25.01.2023 № 40н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новлением) первого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бенка и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ращения за назначением указанной выплаты, а также пере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ня докуме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(свед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ний), необх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димых для назначения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дением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(усыновлен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ем) первого ребенка, и типовой формы зая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ления о ее назначении»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от 29.10.2022 № 1933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Компенсация в заявительном порядке предоставляется СФР при отсутствии в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информационных сист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ставлении</w:t>
            </w:r>
            <w:proofErr w:type="gramStart"/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Ежегодно,</w:t>
            </w:r>
          </w:p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текущего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30.12.2021 № 2579 «Об 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утверждении Правил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  <w:bookmarkStart w:id="0" w:name="_GoBack"/>
            <w:bookmarkEnd w:id="0"/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E818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227E"/>
    <w:rsid w:val="000941FC"/>
    <w:rsid w:val="00094D7C"/>
    <w:rsid w:val="00102859"/>
    <w:rsid w:val="00112B0D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66517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A1C1F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956AD"/>
    <w:rsid w:val="00AA0573"/>
    <w:rsid w:val="00AB5716"/>
    <w:rsid w:val="00AD224C"/>
    <w:rsid w:val="00B45B99"/>
    <w:rsid w:val="00B724E4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24C27"/>
    <w:rsid w:val="00C3030E"/>
    <w:rsid w:val="00C33B97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81894"/>
    <w:rsid w:val="00EB78E8"/>
    <w:rsid w:val="00EF0048"/>
    <w:rsid w:val="00F24D73"/>
    <w:rsid w:val="00F342FE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54A849-D66C-4887-9F8D-2739C0F4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39</Pages>
  <Words>13404</Words>
  <Characters>76409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СИЛЬЧЕНКО Эдуард Владимирович</cp:lastModifiedBy>
  <cp:revision>7</cp:revision>
  <cp:lastPrinted>2025-08-06T06:26:00Z</cp:lastPrinted>
  <dcterms:created xsi:type="dcterms:W3CDTF">2025-12-05T07:22:00Z</dcterms:created>
  <dcterms:modified xsi:type="dcterms:W3CDTF">2025-12-17T02:12:00Z</dcterms:modified>
</cp:coreProperties>
</file>