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AD" w:rsidRDefault="00EE146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5539AD" w:rsidRDefault="00EE146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10.04.2024 </w:t>
      </w:r>
    </w:p>
    <w:p w:rsidR="005539AD" w:rsidRDefault="005539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39AD" w:rsidRDefault="00EE146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10 апреля 2024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5539AD" w:rsidRDefault="00EE1466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вкл</w:t>
      </w:r>
      <w:r>
        <w:rPr>
          <w:sz w:val="26"/>
          <w:szCs w:val="26"/>
        </w:rPr>
        <w:t xml:space="preserve">ючала рассмотрение уведомлений работников </w:t>
      </w:r>
      <w:r>
        <w:rPr>
          <w:sz w:val="26"/>
          <w:szCs w:val="26"/>
        </w:rPr>
        <w:t>Отделения Фонда пенсионного и социального страхования Российской Федерации по Кировской области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ОСФР по Кировской области):</w:t>
      </w:r>
    </w:p>
    <w:p w:rsidR="005539AD" w:rsidRDefault="005539AD">
      <w:pPr>
        <w:pStyle w:val="af3"/>
        <w:spacing w:beforeAutospacing="0" w:after="0" w:line="288" w:lineRule="auto"/>
        <w:jc w:val="both"/>
        <w:rPr>
          <w:color w:val="000000"/>
          <w:sz w:val="26"/>
          <w:szCs w:val="26"/>
        </w:rPr>
      </w:pPr>
    </w:p>
    <w:p w:rsidR="005539AD" w:rsidRDefault="00EE1466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1. </w:t>
      </w:r>
      <w:r>
        <w:rPr>
          <w:rFonts w:eastAsia="Calibri"/>
          <w:color w:val="000000"/>
          <w:sz w:val="26"/>
          <w:szCs w:val="26"/>
          <w:lang w:eastAsia="ar-SA"/>
        </w:rPr>
        <w:t xml:space="preserve">Рассмотрение заявления работника </w:t>
      </w:r>
      <w:bookmarkStart w:id="2" w:name="__DdeLink__2096_39554204182212"/>
      <w:r>
        <w:rPr>
          <w:rFonts w:eastAsia="Calibri"/>
          <w:color w:val="000000"/>
          <w:sz w:val="26"/>
          <w:szCs w:val="26"/>
          <w:lang w:eastAsia="ar-SA"/>
        </w:rPr>
        <w:t>ОСФР по Кировской области</w:t>
      </w:r>
      <w:bookmarkEnd w:id="2"/>
      <w:r>
        <w:rPr>
          <w:rFonts w:eastAsia="Calibri"/>
          <w:color w:val="000000"/>
          <w:sz w:val="26"/>
          <w:szCs w:val="26"/>
          <w:lang w:eastAsia="ar-SA"/>
        </w:rPr>
        <w:t xml:space="preserve"> о невозможности </w:t>
      </w:r>
      <w:r>
        <w:rPr>
          <w:color w:val="000000" w:themeColor="text1"/>
          <w:sz w:val="26"/>
          <w:szCs w:val="26"/>
        </w:rPr>
        <w:t xml:space="preserve">по </w:t>
      </w:r>
      <w:r>
        <w:rPr>
          <w:color w:val="000000" w:themeColor="text1"/>
          <w:sz w:val="26"/>
          <w:szCs w:val="26"/>
        </w:rPr>
        <w:t xml:space="preserve">объективным причинам представить сведения о доходах, расходах, об имуществе и обязательствах имущественного характера на близкого родственника. </w:t>
      </w:r>
      <w:r>
        <w:rPr>
          <w:color w:val="000000"/>
          <w:sz w:val="26"/>
          <w:szCs w:val="26"/>
          <w:lang w:eastAsia="ar-SA"/>
        </w:rPr>
        <w:t xml:space="preserve">   </w:t>
      </w:r>
    </w:p>
    <w:p w:rsidR="005539AD" w:rsidRDefault="00EE1466">
      <w:pPr>
        <w:pStyle w:val="af3"/>
        <w:spacing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5539AD" w:rsidRDefault="00EE1466">
      <w:pPr>
        <w:tabs>
          <w:tab w:val="left" w:pos="709"/>
        </w:tabs>
        <w:spacing w:after="0" w:line="288" w:lineRule="auto"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Признать, что причина непредставления работником с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ведений на близкого родственника является объективной и уважительной. </w:t>
      </w:r>
    </w:p>
    <w:p w:rsidR="005539AD" w:rsidRDefault="005539AD">
      <w:pPr>
        <w:tabs>
          <w:tab w:val="left" w:pos="709"/>
        </w:tabs>
        <w:spacing w:after="0" w:line="288" w:lineRule="auto"/>
        <w:jc w:val="both"/>
        <w:rPr>
          <w:rStyle w:val="ListLabel1"/>
          <w:color w:val="000000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</w:t>
      </w:r>
      <w:bookmarkStart w:id="3" w:name="__DdeLink__2096_395542041822121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деятельности.  </w:t>
      </w:r>
    </w:p>
    <w:p w:rsidR="005539AD" w:rsidRDefault="00EE1466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Конфликт интересов отсутствует. Разъяснить работнику о необходимости отражения дохода, полученного от иной оплачиваемой деятельности, в сведениях о доходах, расходах, об имуществе и обязательствах имущественного характера.</w:t>
      </w:r>
    </w:p>
    <w:p w:rsidR="005539AD" w:rsidRDefault="005539AD">
      <w:pPr>
        <w:spacing w:after="0" w:line="288" w:lineRule="auto"/>
        <w:jc w:val="both"/>
        <w:rPr>
          <w:rStyle w:val="ListLabel1"/>
          <w:color w:val="000000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3.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Рассмотрение уведомления раб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отника </w:t>
      </w:r>
      <w:bookmarkStart w:id="4" w:name="__DdeLink__2096_3955420418221212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ОСФР по Кировской области</w:t>
      </w:r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осуществления иной оплачиваемой деятельности в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5539AD" w:rsidRDefault="00EE1466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Уведомление работника принять к сведению.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Разъяснить работнику о необходимости отражения дохода, полученного от дополнительной оплачиваемой деятельности, в сведениях о доходах, расходах, об имуществе и обязательствах имущественного характера. </w:t>
      </w:r>
    </w:p>
    <w:p w:rsidR="005539AD" w:rsidRDefault="005539AD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Кировс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страховой пенсии по старости. </w:t>
      </w:r>
    </w:p>
    <w:p w:rsidR="005539AD" w:rsidRDefault="00EE1466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Признать, что при исполнении должностных обязанностей работником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конфликт интересов в настоящее время отсутствует.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>возможности возникновения конфликта интересов по изложенной ситуации в дальнейшем путем подачи соответствующего уведомл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ения.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Разъяснить работнику о необходимости отражения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страховой пенсии по старости (в случае назначения)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в сведениях о доходах, расходах, об имуществе и обязательствах имущественного характера.</w:t>
      </w:r>
    </w:p>
    <w:p w:rsidR="005539AD" w:rsidRDefault="005539AD">
      <w:pPr>
        <w:spacing w:after="0" w:line="288" w:lineRule="auto"/>
        <w:jc w:val="both"/>
        <w:rPr>
          <w:rStyle w:val="ListLabel146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 заявлением о  </w:t>
      </w:r>
      <w:bookmarkStart w:id="5" w:name="__DdeLink__356_3299031136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единовременной выплате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средств пенсионных накоплений</w:t>
      </w:r>
      <w:bookmarkEnd w:id="5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5539AD" w:rsidRDefault="00EE1466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Приз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нать, что при исполнении должностных обязанностей</w:t>
      </w:r>
      <w:bookmarkStart w:id="6" w:name="__DdeLink__995_771837427111"/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  <w:bookmarkEnd w:id="6"/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работником конфликт интересов в настоящее время отсутствует.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обстоятельств и условий работнику принять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й ситуации в дальнейшем путем подачи соответствующего уведомления.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Разъяснить работнику о необходимости отражения единовременной выплаты средств пенсионных накоплений (в случае назначения) в сведениях о доходах, расходах, об имуществе и обязательствах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>имущественного характера.</w:t>
      </w:r>
    </w:p>
    <w:p w:rsidR="005539AD" w:rsidRDefault="005539AD">
      <w:pPr>
        <w:spacing w:after="0" w:line="288" w:lineRule="auto"/>
        <w:jc w:val="both"/>
        <w:rPr>
          <w:rStyle w:val="ListLabel146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</w:t>
      </w:r>
      <w:bookmarkStart w:id="7" w:name="__DdeLink__2096_395542041811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по Кировской области</w:t>
      </w:r>
      <w:bookmarkEnd w:id="7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с заявлением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ежемесячной компенсационной выплаты неработающему тру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доспособному лицу, осуществляющему уход за нетрудоспособным гражданином.</w:t>
      </w:r>
    </w:p>
    <w:p w:rsidR="005539AD" w:rsidRDefault="00EE1466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случае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изменения обстоятельств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</w:t>
      </w:r>
    </w:p>
    <w:p w:rsidR="005539AD" w:rsidRDefault="005539AD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7.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 Киро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близкого родственника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ежемесячной денежной выплаты. </w:t>
      </w:r>
    </w:p>
    <w:p w:rsidR="005539AD" w:rsidRDefault="00EE1466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Признать, что при исполнении должностных обязанностей работником конфликт интересов отсутствует.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 xml:space="preserve">Рекомендовать работодателю дать указание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руководителю структурного подразделения 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>провести проверку обоснованности принятого решения о назначении (об отказе в н</w:t>
      </w:r>
      <w:r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азначении) ежемесячной денежной выплаты в отношении близкого родственника работника. </w:t>
      </w:r>
    </w:p>
    <w:p w:rsidR="005539AD" w:rsidRDefault="005539AD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ab/>
        <w:t xml:space="preserve">8.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заявлением о назначении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страховой пенсии по старости.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случае изменения обстоя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тельств и условий работнику принять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Разъяснить работнику о необходимости отражения страховой пенсии по с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тарости (в случае назначения) в сведениях о доходах, расходах, об имуществе и обязательствах имущественного характера.</w:t>
      </w:r>
    </w:p>
    <w:p w:rsidR="005539AD" w:rsidRDefault="005539AD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9.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возникновении личной заинтересованности по вопросу обращения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 заявлением о  </w:t>
      </w:r>
      <w:bookmarkStart w:id="8" w:name="__DdeLink__356_32990311361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единовременной выплате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средств пенсионных накоплений</w:t>
      </w:r>
      <w:bookmarkEnd w:id="8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обязанностей работником конфликт интересов отсутствует.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Разъяснить работнику о необхо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димости отражения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единовременной выплаты средств пенсионных накоплений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(в случае назначения) в сведениях о доходах, расходах, об имуществе и обязательствах имущественного характера. </w:t>
      </w:r>
    </w:p>
    <w:p w:rsidR="005539AD" w:rsidRDefault="005539AD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  <w:t xml:space="preserve">10.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свойственников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с заявлением о  </w:t>
      </w:r>
      <w:bookmarkStart w:id="9" w:name="__DdeLink__356_329903113611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единовременной выплате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средств пенсионных накоплений</w:t>
      </w:r>
      <w:bookmarkEnd w:id="9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Признать, что при исполнении должностных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>обязанностей работником конфликт интересов отсутствует.</w:t>
      </w:r>
    </w:p>
    <w:p w:rsidR="005539AD" w:rsidRDefault="005539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11.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Рассмотрение уведомления работника ОСФР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по Кировской области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по вопросу обращения </w:t>
      </w: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с заявлением о  </w:t>
      </w:r>
      <w:bookmarkStart w:id="10" w:name="__DdeLink__356_3299031136111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единовременной выплате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 xml:space="preserve"> средств пенсионных накоплений</w:t>
      </w:r>
      <w:bookmarkEnd w:id="10"/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 xml:space="preserve">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Признать, что при исполнении должностных обязанностей</w:t>
      </w:r>
      <w:bookmarkStart w:id="11" w:name="__DdeLink__1743_911477408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bookmarkEnd w:id="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работником личная заинтересованность приводит или может привести к возникновению конфликта интересов.</w:t>
      </w:r>
      <w:r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Рекомендовать работодателю принять меры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по недопущению любой возможности возникновения  конфликта интересов по изложенной ситуации путем отстранения работника от исполнения должностных обязанностей при реализации им права на назначение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единовременной выплаты средств пенсионных накоплений путём и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здания соответствующего приказа. Разъяснить работнику о необходимости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lastRenderedPageBreak/>
        <w:t>отражения единовременной выплаты средств пенсионных накоплений (в случае назначения) в сведениях о доходах, расходах, об имуществе и обязательствах имущественного характера.</w:t>
      </w:r>
    </w:p>
    <w:p w:rsidR="005539AD" w:rsidRDefault="005539AD">
      <w:pPr>
        <w:spacing w:after="0" w:line="288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en-US"/>
        </w:rPr>
        <w:tab/>
        <w:t xml:space="preserve">12.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Рассмо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трение уведомления работника </w:t>
      </w:r>
      <w:bookmarkStart w:id="12" w:name="__DdeLink__2096_39554204181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ОСФР по Кировской области</w:t>
      </w:r>
      <w:bookmarkEnd w:id="12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о возникновении личной заинтересованности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в связи с возможным установлением ежемесячной денежной выплаты близкому родственнику.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 w:themeColor="text1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5539AD" w:rsidRDefault="00EE1466">
      <w:pPr>
        <w:spacing w:after="0" w:line="288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Признать, что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при исполнении должностных обязанностей</w:t>
      </w:r>
      <w:bookmarkStart w:id="13" w:name="__DdeLink__1743_911477408211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bookmarkEnd w:id="13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работником личная заинтересованность приводит или может привести к возникновению конфликта интересов.</w:t>
      </w:r>
      <w:r>
        <w:rPr>
          <w:rFonts w:ascii="Times New Roman" w:eastAsia="Calibri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Рекомендовать работодателю принять меры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по недопущению любой возможности возникновения конфликта интересов по изл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оженной ситуации путем отстранения работника от исполнения должностных обязанностей в отношении близкого родственника при реализации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им права на назначение 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ar-SA"/>
        </w:rPr>
        <w:t>ежемесячной денежной выплаты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путём издания соответствующего приказа.</w:t>
      </w:r>
    </w:p>
    <w:p w:rsidR="005539AD" w:rsidRDefault="005539AD">
      <w:pPr>
        <w:spacing w:after="0" w:line="288" w:lineRule="auto"/>
        <w:jc w:val="both"/>
      </w:pPr>
    </w:p>
    <w:sectPr w:rsidR="005539AD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66" w:rsidRDefault="00EE1466">
      <w:pPr>
        <w:spacing w:after="0" w:line="240" w:lineRule="auto"/>
      </w:pPr>
      <w:r>
        <w:separator/>
      </w:r>
    </w:p>
  </w:endnote>
  <w:endnote w:type="continuationSeparator" w:id="0">
    <w:p w:rsidR="00EE1466" w:rsidRDefault="00EE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66" w:rsidRDefault="00EE1466">
      <w:pPr>
        <w:spacing w:after="0" w:line="240" w:lineRule="auto"/>
      </w:pPr>
      <w:r>
        <w:separator/>
      </w:r>
    </w:p>
  </w:footnote>
  <w:footnote w:type="continuationSeparator" w:id="0">
    <w:p w:rsidR="00EE1466" w:rsidRDefault="00EE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448598"/>
      <w:docPartObj>
        <w:docPartGallery w:val="Page Numbers (Top of Page)"/>
        <w:docPartUnique/>
      </w:docPartObj>
    </w:sdtPr>
    <w:sdtEndPr/>
    <w:sdtContent>
      <w:p w:rsidR="005539AD" w:rsidRDefault="00EE1466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7B57">
          <w:rPr>
            <w:noProof/>
          </w:rPr>
          <w:t>4</w:t>
        </w:r>
        <w:r>
          <w:fldChar w:fldCharType="end"/>
        </w:r>
      </w:p>
    </w:sdtContent>
  </w:sdt>
  <w:p w:rsidR="005539AD" w:rsidRDefault="005539AD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AD"/>
    <w:rsid w:val="005539AD"/>
    <w:rsid w:val="00BD7B57"/>
    <w:rsid w:val="00E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45">
    <w:name w:val="ListLabel 145"/>
    <w:qFormat/>
    <w:rPr>
      <w:rFonts w:eastAsia="Calibri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rFonts w:ascii="Times New Roman" w:eastAsia="Calibri" w:hAnsi="Times New Roman" w:cs="Times New Roman"/>
      <w:b w:val="0"/>
      <w:bCs w:val="0"/>
      <w:i w:val="0"/>
      <w:strike w:val="0"/>
      <w:dstrike w:val="0"/>
      <w:color w:val="000000"/>
      <w:sz w:val="26"/>
      <w:szCs w:val="26"/>
      <w:u w:val="none"/>
      <w:em w:val="none"/>
      <w:lang w:val="ru-RU"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82">
    <w:name w:val="ListLabel 182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6">
    <w:name w:val="ListLabel 29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8F10-7A7A-4DE7-8F42-93DA7342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2024-04-22T10:08:00Z</dcterms:created>
  <dcterms:modified xsi:type="dcterms:W3CDTF">2024-04-22T10:08:00Z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