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00000" w14:textId="73636C7C" w:rsidR="00E34537" w:rsidRDefault="00CB72B3">
      <w:pPr>
        <w:pStyle w:val="af1"/>
        <w:ind w:left="6096" w:firstLine="425"/>
        <w:contextualSpacing/>
        <w:jc w:val="left"/>
        <w:rPr>
          <w:sz w:val="28"/>
        </w:rPr>
      </w:pPr>
      <w:r>
        <w:rPr>
          <w:sz w:val="24"/>
        </w:rPr>
        <w:t xml:space="preserve">                                                                                 </w:t>
      </w:r>
      <w:r>
        <w:rPr>
          <w:sz w:val="28"/>
        </w:rPr>
        <w:t>Приложение  № 1</w:t>
      </w:r>
    </w:p>
    <w:p w14:paraId="02000000" w14:textId="77777777" w:rsidR="00E34537" w:rsidRDefault="00CB72B3">
      <w:pPr>
        <w:pStyle w:val="af1"/>
        <w:ind w:left="6096" w:firstLine="0"/>
        <w:contextualSpacing/>
        <w:jc w:val="left"/>
        <w:rPr>
          <w:sz w:val="28"/>
        </w:rPr>
      </w:pPr>
      <w:r>
        <w:rPr>
          <w:sz w:val="28"/>
        </w:rPr>
        <w:t xml:space="preserve">к приказу   УПФР </w:t>
      </w:r>
      <w:proofErr w:type="gramStart"/>
      <w:r>
        <w:rPr>
          <w:sz w:val="28"/>
        </w:rPr>
        <w:t>в</w:t>
      </w:r>
      <w:proofErr w:type="gramEnd"/>
    </w:p>
    <w:p w14:paraId="03000000" w14:textId="77777777" w:rsidR="00E34537" w:rsidRDefault="00CB72B3">
      <w:pPr>
        <w:pStyle w:val="af1"/>
        <w:ind w:left="6096" w:firstLine="0"/>
        <w:contextualSpacing/>
        <w:jc w:val="left"/>
        <w:rPr>
          <w:sz w:val="28"/>
        </w:rPr>
      </w:pPr>
      <w:proofErr w:type="spellStart"/>
      <w:r>
        <w:rPr>
          <w:sz w:val="28"/>
        </w:rPr>
        <w:t>г</w:t>
      </w:r>
      <w:proofErr w:type="gramStart"/>
      <w:r>
        <w:rPr>
          <w:sz w:val="28"/>
        </w:rPr>
        <w:t>.Ш</w:t>
      </w:r>
      <w:proofErr w:type="gramEnd"/>
      <w:r>
        <w:rPr>
          <w:sz w:val="28"/>
        </w:rPr>
        <w:t>арье</w:t>
      </w:r>
      <w:proofErr w:type="spellEnd"/>
      <w:r>
        <w:rPr>
          <w:sz w:val="28"/>
        </w:rPr>
        <w:t xml:space="preserve"> Костромской области (межрайонное)</w:t>
      </w:r>
    </w:p>
    <w:p w14:paraId="04000000" w14:textId="77777777" w:rsidR="00E34537" w:rsidRDefault="00CB72B3">
      <w:pPr>
        <w:pStyle w:val="af1"/>
        <w:ind w:left="6095" w:firstLine="0"/>
        <w:contextualSpacing/>
        <w:jc w:val="left"/>
        <w:rPr>
          <w:sz w:val="28"/>
        </w:rPr>
      </w:pPr>
      <w:r>
        <w:rPr>
          <w:sz w:val="28"/>
        </w:rPr>
        <w:t xml:space="preserve">от  30 декабря 2019 года   №  266  </w:t>
      </w:r>
    </w:p>
    <w:p w14:paraId="05000000" w14:textId="77777777" w:rsidR="00E34537" w:rsidRDefault="00E34537">
      <w:pPr>
        <w:pStyle w:val="af1"/>
        <w:ind w:left="6521" w:firstLine="0"/>
        <w:contextualSpacing/>
        <w:jc w:val="left"/>
        <w:rPr>
          <w:sz w:val="28"/>
        </w:rPr>
      </w:pPr>
    </w:p>
    <w:p w14:paraId="06000000" w14:textId="77777777" w:rsidR="00E34537" w:rsidRDefault="00E34537">
      <w:pPr>
        <w:pStyle w:val="af1"/>
        <w:ind w:left="6521" w:firstLine="0"/>
        <w:contextualSpacing/>
        <w:jc w:val="left"/>
        <w:rPr>
          <w:sz w:val="28"/>
        </w:rPr>
      </w:pPr>
    </w:p>
    <w:p w14:paraId="07000000" w14:textId="77777777" w:rsidR="00E34537" w:rsidRDefault="00CB72B3">
      <w:pPr>
        <w:pStyle w:val="af1"/>
        <w:ind w:firstLine="567"/>
        <w:contextualSpacing/>
        <w:jc w:val="center"/>
        <w:rPr>
          <w:sz w:val="28"/>
        </w:rPr>
      </w:pPr>
      <w:r>
        <w:rPr>
          <w:sz w:val="28"/>
        </w:rPr>
        <w:t>Учетная политика по исполнению бюджета</w:t>
      </w:r>
    </w:p>
    <w:p w14:paraId="08000000" w14:textId="77777777" w:rsidR="00E34537" w:rsidRDefault="00CB72B3">
      <w:pPr>
        <w:pStyle w:val="af1"/>
        <w:ind w:firstLine="567"/>
        <w:contextualSpacing/>
        <w:jc w:val="center"/>
        <w:rPr>
          <w:sz w:val="28"/>
        </w:rPr>
      </w:pPr>
      <w:r>
        <w:rPr>
          <w:sz w:val="28"/>
        </w:rPr>
        <w:t>УПФР в г. Шарье Костромской области (</w:t>
      </w:r>
      <w:proofErr w:type="gramStart"/>
      <w:r>
        <w:rPr>
          <w:sz w:val="28"/>
        </w:rPr>
        <w:t>межрайонное</w:t>
      </w:r>
      <w:proofErr w:type="gramEnd"/>
      <w:r>
        <w:rPr>
          <w:sz w:val="28"/>
        </w:rPr>
        <w:t>)</w:t>
      </w:r>
    </w:p>
    <w:p w14:paraId="09000000" w14:textId="77777777" w:rsidR="00E34537" w:rsidRDefault="00E34537">
      <w:pPr>
        <w:pStyle w:val="af1"/>
        <w:ind w:firstLine="567"/>
        <w:contextualSpacing/>
        <w:jc w:val="center"/>
        <w:rPr>
          <w:sz w:val="28"/>
        </w:rPr>
      </w:pPr>
    </w:p>
    <w:p w14:paraId="0A000000" w14:textId="77777777" w:rsidR="00E34537" w:rsidRDefault="00CB72B3">
      <w:pPr>
        <w:spacing w:line="360" w:lineRule="auto"/>
        <w:jc w:val="both"/>
        <w:rPr>
          <w:sz w:val="28"/>
        </w:rPr>
      </w:pPr>
      <w:r>
        <w:rPr>
          <w:sz w:val="28"/>
        </w:rPr>
        <w:t xml:space="preserve">           Управление создано на основании постановления Правления Пенсионного фонда РФ от 15.05.2013 № 109п для осуществления государственного управления финансами пенсионного обеспечения </w:t>
      </w:r>
      <w:proofErr w:type="gramStart"/>
      <w:r>
        <w:rPr>
          <w:sz w:val="28"/>
        </w:rPr>
        <w:t>на</w:t>
      </w:r>
      <w:proofErr w:type="gramEnd"/>
      <w:r>
        <w:rPr>
          <w:sz w:val="28"/>
        </w:rPr>
        <w:t xml:space="preserve"> территории г. Шарьи, </w:t>
      </w:r>
      <w:proofErr w:type="spellStart"/>
      <w:r>
        <w:rPr>
          <w:sz w:val="28"/>
        </w:rPr>
        <w:t>Шарьинского</w:t>
      </w:r>
      <w:proofErr w:type="spellEnd"/>
      <w:r>
        <w:rPr>
          <w:sz w:val="28"/>
        </w:rPr>
        <w:t xml:space="preserve">, </w:t>
      </w:r>
      <w:proofErr w:type="spellStart"/>
      <w:r>
        <w:rPr>
          <w:sz w:val="28"/>
        </w:rPr>
        <w:t>Вохомского</w:t>
      </w:r>
      <w:proofErr w:type="spellEnd"/>
      <w:r>
        <w:rPr>
          <w:sz w:val="28"/>
        </w:rPr>
        <w:t xml:space="preserve">, </w:t>
      </w:r>
      <w:proofErr w:type="spellStart"/>
      <w:r>
        <w:rPr>
          <w:sz w:val="28"/>
        </w:rPr>
        <w:t>Поназыревского</w:t>
      </w:r>
      <w:proofErr w:type="spellEnd"/>
      <w:r>
        <w:rPr>
          <w:sz w:val="28"/>
        </w:rPr>
        <w:t xml:space="preserve">, </w:t>
      </w:r>
      <w:proofErr w:type="spellStart"/>
      <w:r>
        <w:rPr>
          <w:sz w:val="28"/>
        </w:rPr>
        <w:t>Пыщугского</w:t>
      </w:r>
      <w:proofErr w:type="spellEnd"/>
      <w:r>
        <w:rPr>
          <w:sz w:val="28"/>
        </w:rPr>
        <w:t xml:space="preserve">, </w:t>
      </w:r>
      <w:proofErr w:type="spellStart"/>
      <w:r>
        <w:rPr>
          <w:sz w:val="28"/>
        </w:rPr>
        <w:t>Павинского</w:t>
      </w:r>
      <w:proofErr w:type="spellEnd"/>
      <w:r>
        <w:rPr>
          <w:sz w:val="28"/>
        </w:rPr>
        <w:t>, Октябрьского районов, и является самостоятельным финансово-кредитным учреждением, осуществляющим свою деятельность в соответствии с законодательством РФ и Положением о Пенсионном фонде РФ (России), утвержденным постановлением Верховного Совета РФ от 27.12.1991 № 2122-1.   Постановлением Правления ПФР от 25.10.2018 № 461п  утверждено Положение об   УПФР в г. Шарье по Костромской области (межрайонное).</w:t>
      </w:r>
    </w:p>
    <w:p w14:paraId="0B000000" w14:textId="77777777" w:rsidR="00E34537" w:rsidRDefault="00CB72B3">
      <w:pPr>
        <w:spacing w:line="360" w:lineRule="auto"/>
        <w:jc w:val="both"/>
        <w:rPr>
          <w:sz w:val="28"/>
        </w:rPr>
      </w:pPr>
      <w:r>
        <w:rPr>
          <w:sz w:val="28"/>
        </w:rPr>
        <w:t xml:space="preserve">      </w:t>
      </w:r>
      <w:r>
        <w:rPr>
          <w:sz w:val="28"/>
        </w:rPr>
        <w:tab/>
        <w:t>В Единый государственный реестр юридических лиц внесена запись от 15 октября 2013 года об Управлении, как юридическом лице, за основным государственным регистрационным номером 1134436000291 (свидетельство от 15 октября 2013 года, серия 44 № 000880067).</w:t>
      </w:r>
    </w:p>
    <w:p w14:paraId="0C000000" w14:textId="77777777" w:rsidR="00E34537" w:rsidRDefault="00CB72B3">
      <w:pPr>
        <w:tabs>
          <w:tab w:val="left" w:pos="0"/>
        </w:tabs>
        <w:spacing w:line="360" w:lineRule="auto"/>
        <w:ind w:firstLine="567"/>
        <w:jc w:val="both"/>
        <w:rPr>
          <w:sz w:val="28"/>
        </w:rPr>
      </w:pPr>
      <w:r>
        <w:rPr>
          <w:sz w:val="28"/>
        </w:rPr>
        <w:t xml:space="preserve">Согласно свидетельству </w:t>
      </w:r>
      <w:proofErr w:type="gramStart"/>
      <w:r>
        <w:rPr>
          <w:sz w:val="28"/>
        </w:rPr>
        <w:t>о постановке на учет юридического лица в налоговом органе по месту нахождения на территории</w:t>
      </w:r>
      <w:proofErr w:type="gramEnd"/>
      <w:r>
        <w:rPr>
          <w:sz w:val="28"/>
        </w:rPr>
        <w:t xml:space="preserve"> Российской </w:t>
      </w:r>
      <w:r>
        <w:rPr>
          <w:sz w:val="28"/>
        </w:rPr>
        <w:lastRenderedPageBreak/>
        <w:t>Федерации серии 44 № 000880068, УПФР в г. Шарье Костромской области (межрайонное) присвоены ИНН 4407012776, КПП 440701001.</w:t>
      </w:r>
    </w:p>
    <w:p w14:paraId="0D000000" w14:textId="77777777" w:rsidR="00E34537" w:rsidRDefault="00CB72B3">
      <w:pPr>
        <w:tabs>
          <w:tab w:val="left" w:pos="0"/>
        </w:tabs>
        <w:spacing w:line="360" w:lineRule="auto"/>
        <w:ind w:firstLine="567"/>
        <w:jc w:val="both"/>
        <w:rPr>
          <w:sz w:val="28"/>
        </w:rPr>
      </w:pPr>
      <w:r>
        <w:rPr>
          <w:sz w:val="28"/>
        </w:rPr>
        <w:t>Управлению   территориальным органом федеральной службы государственной статистики по Костромской области с использованием Общероссийских классификаторов установлены следующие коды: по Общероссийскому классификатору предприятий и организаций (ОКПО) 10972187; по Общероссийскому классификатору объектов административно-территориального деления (ОКАТО) 34430000000 (Костромская область, г. Шарья); по Общероссийскому классификатору органов государственной власти и управления (ОКОГУ) 4100201 (Пенсионный фонд Российской Федерации), по Общероссийскому классификатору форм собственности (ОКФС) 12 (федеральная собственность); по Общероссийскому классификатору видов экономической деятельности (ОКВЭД) 84.30. (деятельность в области обязательного социального обеспечения); ОКОПФ 75104 (федеральное казенное учреждение).</w:t>
      </w:r>
    </w:p>
    <w:p w14:paraId="0E000000" w14:textId="77777777" w:rsidR="00E34537" w:rsidRDefault="00CB72B3">
      <w:pPr>
        <w:tabs>
          <w:tab w:val="left" w:pos="0"/>
        </w:tabs>
        <w:spacing w:line="360" w:lineRule="auto"/>
        <w:ind w:firstLine="567"/>
        <w:jc w:val="both"/>
        <w:rPr>
          <w:sz w:val="28"/>
        </w:rPr>
      </w:pPr>
      <w:r>
        <w:rPr>
          <w:sz w:val="28"/>
        </w:rPr>
        <w:t>Государственное учреждение - Управление Пенсионного фонда Российской Федерации в г. Шарье Костромской области (межрайонное) имеет в оперативном управлении федеральное имущество, самостоятельный баланс, лицевые счета в Управлении Федерального казначейства, гербовую печать со своим наименованием.</w:t>
      </w:r>
    </w:p>
    <w:p w14:paraId="0F000000" w14:textId="77777777" w:rsidR="00E34537" w:rsidRDefault="00CB72B3">
      <w:pPr>
        <w:tabs>
          <w:tab w:val="left" w:pos="0"/>
        </w:tabs>
        <w:spacing w:line="360" w:lineRule="auto"/>
        <w:ind w:firstLine="567"/>
        <w:jc w:val="both"/>
        <w:rPr>
          <w:sz w:val="28"/>
        </w:rPr>
      </w:pPr>
      <w:r>
        <w:rPr>
          <w:sz w:val="28"/>
        </w:rPr>
        <w:t>Юридический адрес: 157500, Костромская область, г. Шарья, ул. Ленина, дом 15.</w:t>
      </w:r>
    </w:p>
    <w:p w14:paraId="10000000" w14:textId="77777777" w:rsidR="00E34537" w:rsidRDefault="00E34537">
      <w:pPr>
        <w:pStyle w:val="af1"/>
        <w:ind w:firstLine="567"/>
        <w:contextualSpacing/>
        <w:rPr>
          <w:sz w:val="28"/>
        </w:rPr>
      </w:pPr>
    </w:p>
    <w:p w14:paraId="3254B020" w14:textId="77777777" w:rsidR="008D7E07" w:rsidRDefault="008D7E07">
      <w:pPr>
        <w:pStyle w:val="af1"/>
        <w:ind w:firstLine="567"/>
        <w:contextualSpacing/>
        <w:rPr>
          <w:sz w:val="28"/>
        </w:rPr>
      </w:pPr>
    </w:p>
    <w:p w14:paraId="75F591B7" w14:textId="77777777" w:rsidR="008D7E07" w:rsidRDefault="008D7E07">
      <w:pPr>
        <w:pStyle w:val="af1"/>
        <w:ind w:firstLine="567"/>
        <w:contextualSpacing/>
        <w:rPr>
          <w:sz w:val="28"/>
        </w:rPr>
      </w:pPr>
    </w:p>
    <w:p w14:paraId="68E40E5E" w14:textId="77777777" w:rsidR="008D7E07" w:rsidRDefault="008D7E07">
      <w:pPr>
        <w:pStyle w:val="af1"/>
        <w:ind w:firstLine="567"/>
        <w:contextualSpacing/>
        <w:rPr>
          <w:sz w:val="28"/>
        </w:rPr>
      </w:pPr>
    </w:p>
    <w:p w14:paraId="100813C7" w14:textId="77777777" w:rsidR="008D7E07" w:rsidRDefault="008D7E07">
      <w:pPr>
        <w:pStyle w:val="af1"/>
        <w:ind w:firstLine="567"/>
        <w:contextualSpacing/>
        <w:rPr>
          <w:sz w:val="28"/>
        </w:rPr>
      </w:pPr>
    </w:p>
    <w:p w14:paraId="20EB74CA" w14:textId="77777777" w:rsidR="008D7E07" w:rsidRDefault="008D7E07">
      <w:pPr>
        <w:pStyle w:val="af1"/>
        <w:ind w:firstLine="567"/>
        <w:contextualSpacing/>
        <w:rPr>
          <w:sz w:val="28"/>
        </w:rPr>
      </w:pPr>
    </w:p>
    <w:p w14:paraId="03EC2568" w14:textId="77777777" w:rsidR="008D7E07" w:rsidRDefault="008D7E07">
      <w:pPr>
        <w:pStyle w:val="af1"/>
        <w:ind w:firstLine="567"/>
        <w:contextualSpacing/>
        <w:rPr>
          <w:sz w:val="28"/>
        </w:rPr>
      </w:pPr>
    </w:p>
    <w:p w14:paraId="11000000" w14:textId="77777777" w:rsidR="00E34537" w:rsidRDefault="00CB72B3">
      <w:pPr>
        <w:pStyle w:val="af1"/>
        <w:ind w:left="1287" w:hanging="1287"/>
        <w:contextualSpacing/>
        <w:jc w:val="center"/>
        <w:rPr>
          <w:sz w:val="28"/>
        </w:rPr>
      </w:pPr>
      <w:r>
        <w:rPr>
          <w:sz w:val="28"/>
        </w:rPr>
        <w:lastRenderedPageBreak/>
        <w:t>I. Общие положения</w:t>
      </w:r>
    </w:p>
    <w:p w14:paraId="12000000" w14:textId="77777777" w:rsidR="00E34537" w:rsidRDefault="00E34537">
      <w:pPr>
        <w:pStyle w:val="af1"/>
        <w:ind w:firstLine="567"/>
        <w:contextualSpacing/>
        <w:rPr>
          <w:sz w:val="28"/>
        </w:rPr>
      </w:pPr>
    </w:p>
    <w:p w14:paraId="13000000" w14:textId="77777777" w:rsidR="00E34537" w:rsidRDefault="00CB72B3">
      <w:pPr>
        <w:numPr>
          <w:ilvl w:val="0"/>
          <w:numId w:val="1"/>
        </w:numPr>
        <w:spacing w:line="360" w:lineRule="auto"/>
        <w:ind w:left="0" w:firstLine="567"/>
        <w:contextualSpacing/>
        <w:jc w:val="both"/>
        <w:rPr>
          <w:sz w:val="28"/>
        </w:rPr>
      </w:pPr>
      <w:r>
        <w:rPr>
          <w:sz w:val="28"/>
        </w:rPr>
        <w:t xml:space="preserve">Настоящей Учетной политикой регламентируются правоотношения, возникающие между субъектами бюджетных правоотношений в процессе исполнения бюджета, </w:t>
      </w:r>
      <w:proofErr w:type="gramStart"/>
      <w:r>
        <w:rPr>
          <w:sz w:val="28"/>
        </w:rPr>
        <w:t>контроля за</w:t>
      </w:r>
      <w:proofErr w:type="gramEnd"/>
      <w:r>
        <w:rPr>
          <w:sz w:val="28"/>
        </w:rPr>
        <w:t xml:space="preserve"> их исполнением, осуществления бюджетного учета, составления и представления бюджетной отчетности.</w:t>
      </w:r>
    </w:p>
    <w:p w14:paraId="14000000" w14:textId="77777777" w:rsidR="00E34537" w:rsidRDefault="00E34537">
      <w:pPr>
        <w:spacing w:line="360" w:lineRule="auto"/>
        <w:ind w:left="1902"/>
        <w:contextualSpacing/>
        <w:jc w:val="both"/>
        <w:rPr>
          <w:sz w:val="28"/>
        </w:rPr>
      </w:pPr>
    </w:p>
    <w:p w14:paraId="15000000" w14:textId="77777777" w:rsidR="00E34537" w:rsidRDefault="00CB72B3">
      <w:pPr>
        <w:spacing w:line="360" w:lineRule="auto"/>
        <w:ind w:firstLine="567"/>
        <w:contextualSpacing/>
        <w:jc w:val="both"/>
        <w:rPr>
          <w:sz w:val="28"/>
        </w:rPr>
      </w:pPr>
      <w:r>
        <w:rPr>
          <w:sz w:val="28"/>
        </w:rPr>
        <w:t>2. По ведению  учета Управление   руководствуется в своей деятельности Учетной политикой Пенсионного фонда Российской Федерации, утвержденной постановление Правления ПФР от 25.12.2019 №728п, в части выполнения следующих функций по ведению бюджетного учета и составлению бюджетной отчетности:</w:t>
      </w:r>
    </w:p>
    <w:p w14:paraId="16000000" w14:textId="77777777" w:rsidR="00E34537" w:rsidRDefault="00CB72B3">
      <w:pPr>
        <w:pStyle w:val="af1"/>
        <w:ind w:firstLine="567"/>
        <w:contextualSpacing/>
        <w:rPr>
          <w:sz w:val="28"/>
        </w:rPr>
      </w:pPr>
      <w:r>
        <w:rPr>
          <w:sz w:val="28"/>
        </w:rPr>
        <w:t>-  Учет операций по осуществлению функций получателя бюджетных средств.</w:t>
      </w:r>
    </w:p>
    <w:p w14:paraId="17000000" w14:textId="77777777" w:rsidR="00E34537" w:rsidRDefault="00E34537">
      <w:pPr>
        <w:pStyle w:val="af1"/>
        <w:ind w:firstLine="567"/>
        <w:contextualSpacing/>
        <w:rPr>
          <w:sz w:val="28"/>
        </w:rPr>
      </w:pPr>
    </w:p>
    <w:p w14:paraId="18000000" w14:textId="77777777" w:rsidR="00E34537" w:rsidRDefault="00CB72B3">
      <w:pPr>
        <w:pStyle w:val="af1"/>
        <w:ind w:firstLine="567"/>
        <w:contextualSpacing/>
        <w:rPr>
          <w:sz w:val="28"/>
        </w:rPr>
      </w:pPr>
      <w:r>
        <w:rPr>
          <w:sz w:val="28"/>
        </w:rPr>
        <w:t>3. В Управлении действуют постоянные комиссии, утвержденные отдельными приказами:</w:t>
      </w:r>
    </w:p>
    <w:p w14:paraId="19000000" w14:textId="77777777" w:rsidR="00E34537" w:rsidRDefault="00CB72B3">
      <w:pPr>
        <w:pStyle w:val="af1"/>
        <w:ind w:firstLine="567"/>
        <w:contextualSpacing/>
        <w:rPr>
          <w:sz w:val="28"/>
        </w:rPr>
      </w:pPr>
      <w:r>
        <w:rPr>
          <w:sz w:val="28"/>
        </w:rPr>
        <w:t>- контрактная служба;</w:t>
      </w:r>
    </w:p>
    <w:p w14:paraId="1A000000" w14:textId="77777777" w:rsidR="00E34537" w:rsidRDefault="00CB72B3">
      <w:pPr>
        <w:pStyle w:val="af1"/>
        <w:ind w:firstLine="567"/>
        <w:contextualSpacing/>
        <w:rPr>
          <w:sz w:val="28"/>
        </w:rPr>
      </w:pPr>
      <w:r>
        <w:rPr>
          <w:sz w:val="28"/>
        </w:rPr>
        <w:t>- экспертная комиссия;</w:t>
      </w:r>
    </w:p>
    <w:p w14:paraId="1B000000" w14:textId="77777777" w:rsidR="00E34537" w:rsidRDefault="00CB72B3">
      <w:pPr>
        <w:pStyle w:val="af1"/>
        <w:ind w:firstLine="567"/>
        <w:contextualSpacing/>
        <w:rPr>
          <w:sz w:val="28"/>
        </w:rPr>
      </w:pPr>
      <w:r>
        <w:rPr>
          <w:sz w:val="28"/>
        </w:rPr>
        <w:t>- комиссия по социально-бытовым вопросам;</w:t>
      </w:r>
    </w:p>
    <w:p w14:paraId="1C000000" w14:textId="77777777" w:rsidR="00E34537" w:rsidRDefault="00CB72B3">
      <w:pPr>
        <w:pStyle w:val="af1"/>
        <w:ind w:firstLine="567"/>
        <w:contextualSpacing/>
        <w:rPr>
          <w:sz w:val="28"/>
        </w:rPr>
      </w:pPr>
      <w:r>
        <w:rPr>
          <w:sz w:val="28"/>
        </w:rPr>
        <w:t>- комиссия по приемке имущества, подготовке и принятию решения о списании имущества Управления;</w:t>
      </w:r>
    </w:p>
    <w:p w14:paraId="1D000000" w14:textId="77777777" w:rsidR="00E34537" w:rsidRDefault="00CB72B3">
      <w:pPr>
        <w:pStyle w:val="af1"/>
        <w:ind w:firstLine="567"/>
        <w:contextualSpacing/>
        <w:rPr>
          <w:sz w:val="28"/>
        </w:rPr>
      </w:pPr>
      <w:r>
        <w:rPr>
          <w:sz w:val="28"/>
        </w:rPr>
        <w:t>- комиссия по списанию бланков строгой отчетности;</w:t>
      </w:r>
    </w:p>
    <w:p w14:paraId="1E000000" w14:textId="77777777" w:rsidR="00E34537" w:rsidRDefault="00CB72B3">
      <w:pPr>
        <w:pStyle w:val="af1"/>
        <w:ind w:firstLine="567"/>
        <w:contextualSpacing/>
        <w:rPr>
          <w:sz w:val="28"/>
        </w:rPr>
      </w:pPr>
      <w:r>
        <w:rPr>
          <w:sz w:val="28"/>
        </w:rPr>
        <w:t>- комиссия по социальному страхованию;</w:t>
      </w:r>
    </w:p>
    <w:p w14:paraId="1F000000" w14:textId="77777777" w:rsidR="00E34537" w:rsidRDefault="00CB72B3">
      <w:pPr>
        <w:pStyle w:val="af1"/>
        <w:ind w:firstLine="567"/>
        <w:contextualSpacing/>
        <w:rPr>
          <w:sz w:val="28"/>
        </w:rPr>
      </w:pPr>
      <w:r>
        <w:rPr>
          <w:sz w:val="28"/>
        </w:rPr>
        <w:t>- комиссия по установлению стажа работы, дающего право на ежемесячную надбавку за выслугу лет;</w:t>
      </w:r>
    </w:p>
    <w:p w14:paraId="20000000" w14:textId="77777777" w:rsidR="00E34537" w:rsidRDefault="00CB72B3">
      <w:pPr>
        <w:pStyle w:val="af1"/>
        <w:ind w:firstLine="567"/>
        <w:contextualSpacing/>
        <w:rPr>
          <w:sz w:val="28"/>
        </w:rPr>
      </w:pPr>
      <w:r>
        <w:rPr>
          <w:sz w:val="28"/>
        </w:rPr>
        <w:t>- комиссия по списанию безнадежной к взысканию задолженности;</w:t>
      </w:r>
    </w:p>
    <w:p w14:paraId="21000000" w14:textId="77777777" w:rsidR="00E34537" w:rsidRDefault="00CB72B3">
      <w:pPr>
        <w:pStyle w:val="af1"/>
        <w:ind w:firstLine="567"/>
        <w:contextualSpacing/>
        <w:rPr>
          <w:sz w:val="28"/>
        </w:rPr>
      </w:pPr>
      <w:r>
        <w:rPr>
          <w:sz w:val="28"/>
        </w:rPr>
        <w:t xml:space="preserve">- комиссия по признанию </w:t>
      </w:r>
      <w:proofErr w:type="gramStart"/>
      <w:r>
        <w:rPr>
          <w:sz w:val="28"/>
        </w:rPr>
        <w:t>безнадежными</w:t>
      </w:r>
      <w:proofErr w:type="gramEnd"/>
      <w:r>
        <w:rPr>
          <w:sz w:val="28"/>
        </w:rPr>
        <w:t xml:space="preserve"> к взысканию и списанию недоимки по страховым взносам на обязательное пенсионное страхование </w:t>
      </w:r>
      <w:r>
        <w:rPr>
          <w:sz w:val="28"/>
        </w:rPr>
        <w:lastRenderedPageBreak/>
        <w:t>и обязательное медицинское страхование, задолженности по пеням и штрафам;</w:t>
      </w:r>
    </w:p>
    <w:p w14:paraId="22000000" w14:textId="77777777" w:rsidR="00E34537" w:rsidRDefault="00CB72B3">
      <w:pPr>
        <w:pStyle w:val="af1"/>
        <w:ind w:firstLine="567"/>
        <w:contextualSpacing/>
        <w:rPr>
          <w:sz w:val="28"/>
        </w:rPr>
      </w:pPr>
      <w:r>
        <w:rPr>
          <w:sz w:val="28"/>
        </w:rPr>
        <w:t xml:space="preserve">- комиссия по уничтожению </w:t>
      </w:r>
      <w:proofErr w:type="spellStart"/>
      <w:r>
        <w:rPr>
          <w:sz w:val="28"/>
        </w:rPr>
        <w:t>криптосредств</w:t>
      </w:r>
      <w:proofErr w:type="spellEnd"/>
      <w:r>
        <w:rPr>
          <w:sz w:val="28"/>
        </w:rPr>
        <w:t>;</w:t>
      </w:r>
    </w:p>
    <w:p w14:paraId="23000000" w14:textId="77777777" w:rsidR="00E34537" w:rsidRDefault="00CB72B3">
      <w:pPr>
        <w:pStyle w:val="af1"/>
        <w:ind w:firstLine="567"/>
        <w:contextualSpacing/>
        <w:rPr>
          <w:sz w:val="28"/>
        </w:rPr>
      </w:pPr>
      <w:r>
        <w:rPr>
          <w:sz w:val="28"/>
        </w:rPr>
        <w:t>- комиссия по уничтожению с машинных носителей информации, проверке их наличия и порядка применения;</w:t>
      </w:r>
    </w:p>
    <w:p w14:paraId="24000000" w14:textId="77777777" w:rsidR="00E34537" w:rsidRDefault="00CB72B3">
      <w:pPr>
        <w:pStyle w:val="af1"/>
        <w:ind w:firstLine="567"/>
        <w:contextualSpacing/>
        <w:rPr>
          <w:sz w:val="28"/>
        </w:rPr>
      </w:pPr>
      <w:r>
        <w:rPr>
          <w:sz w:val="28"/>
        </w:rPr>
        <w:t>- комиссия по предупреждению и ликвидации чрезвычайных ситуаций и обеспечения пожарной безопасности;</w:t>
      </w:r>
    </w:p>
    <w:p w14:paraId="25000000" w14:textId="77777777" w:rsidR="00E34537" w:rsidRDefault="00CB72B3">
      <w:pPr>
        <w:pStyle w:val="af1"/>
        <w:ind w:firstLine="567"/>
        <w:contextualSpacing/>
        <w:rPr>
          <w:sz w:val="28"/>
        </w:rPr>
      </w:pPr>
      <w:r>
        <w:rPr>
          <w:sz w:val="28"/>
        </w:rPr>
        <w:t>- комиссия по проверке знаний требований охраны труда;</w:t>
      </w:r>
    </w:p>
    <w:p w14:paraId="26000000" w14:textId="77777777" w:rsidR="00E34537" w:rsidRDefault="00CB72B3">
      <w:pPr>
        <w:pStyle w:val="af1"/>
        <w:ind w:firstLine="567"/>
        <w:contextualSpacing/>
        <w:rPr>
          <w:sz w:val="28"/>
        </w:rPr>
      </w:pPr>
      <w:r>
        <w:rPr>
          <w:sz w:val="28"/>
        </w:rPr>
        <w:t>- комиссия по проверке исправности системы охранно-пожарной безопасности и системы громкой связи при пожаре;</w:t>
      </w:r>
    </w:p>
    <w:p w14:paraId="27000000" w14:textId="77777777" w:rsidR="00E34537" w:rsidRDefault="00CB72B3">
      <w:pPr>
        <w:pStyle w:val="af1"/>
        <w:ind w:firstLine="567"/>
        <w:contextualSpacing/>
        <w:rPr>
          <w:sz w:val="28"/>
        </w:rPr>
      </w:pPr>
      <w:r>
        <w:rPr>
          <w:sz w:val="28"/>
        </w:rPr>
        <w:t>- комиссия по проверке пожарной безопасности в зданиях и помещениях Управления;</w:t>
      </w:r>
    </w:p>
    <w:p w14:paraId="28000000" w14:textId="77777777" w:rsidR="00E34537" w:rsidRDefault="00CB72B3">
      <w:pPr>
        <w:pStyle w:val="af1"/>
        <w:ind w:firstLine="567"/>
        <w:contextualSpacing/>
        <w:rPr>
          <w:sz w:val="28"/>
        </w:rPr>
      </w:pPr>
      <w:r>
        <w:rPr>
          <w:sz w:val="28"/>
        </w:rPr>
        <w:t>- комиссия по определению технического состояния имущества гражданской обороны.</w:t>
      </w:r>
    </w:p>
    <w:p w14:paraId="29000000" w14:textId="77777777" w:rsidR="00E34537" w:rsidRDefault="00E34537">
      <w:pPr>
        <w:pStyle w:val="af1"/>
        <w:ind w:firstLine="567"/>
        <w:contextualSpacing/>
        <w:rPr>
          <w:sz w:val="28"/>
        </w:rPr>
      </w:pPr>
    </w:p>
    <w:p w14:paraId="2A000000" w14:textId="77777777" w:rsidR="00E34537" w:rsidRDefault="00CB72B3">
      <w:pPr>
        <w:pStyle w:val="af1"/>
        <w:ind w:firstLine="567"/>
        <w:contextualSpacing/>
        <w:rPr>
          <w:sz w:val="28"/>
        </w:rPr>
      </w:pPr>
      <w:r>
        <w:rPr>
          <w:sz w:val="28"/>
        </w:rPr>
        <w:t>4.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функционирования бюджетной системы ПФР:</w:t>
      </w:r>
    </w:p>
    <w:p w14:paraId="2B000000" w14:textId="77777777" w:rsidR="00E34537" w:rsidRDefault="00CB72B3">
      <w:pPr>
        <w:pStyle w:val="af1"/>
        <w:ind w:firstLine="567"/>
        <w:contextualSpacing/>
        <w:rPr>
          <w:sz w:val="28"/>
        </w:rPr>
      </w:pPr>
      <w:r>
        <w:rPr>
          <w:sz w:val="28"/>
        </w:rPr>
        <w:t>Бюджетным кодексом Российской Федерации;</w:t>
      </w:r>
    </w:p>
    <w:p w14:paraId="2C000000" w14:textId="77777777" w:rsidR="00E34537" w:rsidRDefault="00CB72B3">
      <w:pPr>
        <w:pStyle w:val="af1"/>
        <w:ind w:firstLine="567"/>
        <w:contextualSpacing/>
        <w:rPr>
          <w:sz w:val="28"/>
        </w:rPr>
      </w:pPr>
      <w:r>
        <w:rPr>
          <w:sz w:val="28"/>
        </w:rPr>
        <w:t>Гражданским кодексом Российской Федерации;</w:t>
      </w:r>
    </w:p>
    <w:p w14:paraId="2D000000" w14:textId="77777777" w:rsidR="00E34537" w:rsidRDefault="00CB72B3">
      <w:pPr>
        <w:pStyle w:val="af1"/>
        <w:ind w:firstLine="567"/>
        <w:contextualSpacing/>
        <w:rPr>
          <w:sz w:val="28"/>
        </w:rPr>
      </w:pPr>
      <w:r>
        <w:rPr>
          <w:sz w:val="28"/>
        </w:rPr>
        <w:t>Налоговым кодексом Российской Федерации;</w:t>
      </w:r>
    </w:p>
    <w:p w14:paraId="2E000000" w14:textId="77777777" w:rsidR="00E34537" w:rsidRDefault="00CB72B3">
      <w:pPr>
        <w:pStyle w:val="af1"/>
        <w:ind w:firstLine="567"/>
        <w:contextualSpacing/>
        <w:rPr>
          <w:sz w:val="28"/>
        </w:rPr>
      </w:pPr>
      <w:r>
        <w:rPr>
          <w:sz w:val="28"/>
        </w:rPr>
        <w:t>Трудовым кодексом Российской Федерации;</w:t>
      </w:r>
    </w:p>
    <w:p w14:paraId="2F000000" w14:textId="77777777" w:rsidR="00E34537" w:rsidRDefault="00CB72B3">
      <w:pPr>
        <w:pStyle w:val="af1"/>
        <w:ind w:firstLine="567"/>
        <w:contextualSpacing/>
        <w:rPr>
          <w:sz w:val="28"/>
        </w:rPr>
      </w:pPr>
      <w:r>
        <w:rPr>
          <w:sz w:val="28"/>
        </w:rPr>
        <w:t>Федеральным законом от 6 декабря 2011 г. № 402-ФЗ «О бухгалтерском учете»;</w:t>
      </w:r>
    </w:p>
    <w:p w14:paraId="30000000" w14:textId="77777777" w:rsidR="00E34537" w:rsidRDefault="00CB72B3">
      <w:pPr>
        <w:pStyle w:val="af1"/>
        <w:ind w:firstLine="567"/>
        <w:contextualSpacing/>
        <w:rPr>
          <w:sz w:val="28"/>
        </w:rPr>
      </w:pPr>
      <w:r>
        <w:rPr>
          <w:sz w:val="28"/>
        </w:rPr>
        <w:t>федеральным законом о бюджете Пенсионного фонда Российской Федерации на соответствующий финансовый год и на плановый период;</w:t>
      </w:r>
    </w:p>
    <w:p w14:paraId="31000000" w14:textId="77777777" w:rsidR="00E34537" w:rsidRDefault="00CB72B3">
      <w:pPr>
        <w:pStyle w:val="af1"/>
        <w:ind w:firstLine="567"/>
        <w:contextualSpacing/>
        <w:rPr>
          <w:sz w:val="28"/>
        </w:rPr>
      </w:pPr>
      <w:r>
        <w:rPr>
          <w:sz w:val="28"/>
        </w:rPr>
        <w:t xml:space="preserve">приказом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w:t>
      </w:r>
      <w:r>
        <w:rPr>
          <w:sz w:val="28"/>
        </w:rPr>
        <w:lastRenderedPageBreak/>
        <w:t>«Концептуальные основы бухгалтерского учета и отчетности организации государственного сектора»;</w:t>
      </w:r>
    </w:p>
    <w:p w14:paraId="32000000" w14:textId="77777777" w:rsidR="00E34537" w:rsidRDefault="00CB72B3">
      <w:pPr>
        <w:pStyle w:val="af1"/>
        <w:ind w:firstLine="567"/>
        <w:contextualSpacing/>
        <w:rPr>
          <w:sz w:val="28"/>
        </w:rPr>
      </w:pPr>
      <w:r>
        <w:rPr>
          <w:sz w:val="28"/>
        </w:rPr>
        <w:t>приказом Министерства финансов Российской Федерации                       от 31 декабря 2016 г. № 257н «Об утверждении федерального стандарта бухгалтерского учета для организаций государственного сектора «Основные средства»;</w:t>
      </w:r>
    </w:p>
    <w:p w14:paraId="33000000" w14:textId="77777777" w:rsidR="00E34537" w:rsidRDefault="00CB72B3">
      <w:pPr>
        <w:pStyle w:val="af1"/>
        <w:ind w:firstLine="567"/>
        <w:contextualSpacing/>
        <w:rPr>
          <w:sz w:val="28"/>
        </w:rPr>
      </w:pPr>
      <w:r>
        <w:rPr>
          <w:sz w:val="28"/>
        </w:rPr>
        <w:t>приказом Министерства финансов Российской Федерации                       от 31 декабря 2016 г. № 258н «Об утверждении федерального стандарта бухгалтерского учета для организаций государственного сектора «Аренда»;</w:t>
      </w:r>
    </w:p>
    <w:p w14:paraId="34000000" w14:textId="77777777" w:rsidR="00E34537" w:rsidRDefault="00CB72B3">
      <w:pPr>
        <w:pStyle w:val="af1"/>
        <w:ind w:firstLine="567"/>
        <w:contextualSpacing/>
        <w:rPr>
          <w:sz w:val="28"/>
        </w:rPr>
      </w:pPr>
      <w:r>
        <w:rPr>
          <w:sz w:val="28"/>
        </w:rPr>
        <w:t>приказом Министерства финансов Российской Федерации                      от 31 декабря 2016 г. № 259н «Об утверждении федерального стандарта бухгалтерского учета для организаций государственного сектора «Обесценение активов»;</w:t>
      </w:r>
    </w:p>
    <w:p w14:paraId="35000000" w14:textId="77777777" w:rsidR="00E34537" w:rsidRDefault="00CB72B3">
      <w:pPr>
        <w:pStyle w:val="af1"/>
        <w:ind w:firstLine="567"/>
        <w:contextualSpacing/>
        <w:rPr>
          <w:sz w:val="28"/>
        </w:rPr>
      </w:pPr>
      <w:r>
        <w:rPr>
          <w:sz w:val="28"/>
        </w:rPr>
        <w:t>приказом Министерства финансов Российской Федерации                       от 31 декабря 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14:paraId="36000000" w14:textId="77777777" w:rsidR="00E34537" w:rsidRDefault="00CB72B3">
      <w:pPr>
        <w:pStyle w:val="af1"/>
        <w:ind w:firstLine="567"/>
        <w:contextualSpacing/>
        <w:rPr>
          <w:sz w:val="28"/>
        </w:rPr>
      </w:pPr>
      <w:r>
        <w:rPr>
          <w:sz w:val="28"/>
        </w:rPr>
        <w:t>приказом Министерства финансов Российской Федерации                       от 30 декабря 2017 г. № 275н «Об утверждении федерального стандарта бухгалтерского учета для организаций государственного сектора «События после отчетной даты»;</w:t>
      </w:r>
    </w:p>
    <w:p w14:paraId="37000000" w14:textId="77777777" w:rsidR="00E34537" w:rsidRDefault="00CB72B3">
      <w:pPr>
        <w:pStyle w:val="af1"/>
        <w:ind w:firstLine="567"/>
        <w:contextualSpacing/>
        <w:rPr>
          <w:sz w:val="28"/>
        </w:rPr>
      </w:pPr>
      <w:r>
        <w:rPr>
          <w:sz w:val="28"/>
        </w:rP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оценочное значение и ошибки»;</w:t>
      </w:r>
    </w:p>
    <w:p w14:paraId="38000000" w14:textId="77777777" w:rsidR="00E34537" w:rsidRDefault="00CB72B3">
      <w:pPr>
        <w:pStyle w:val="af1"/>
        <w:ind w:firstLine="567"/>
        <w:contextualSpacing/>
        <w:rPr>
          <w:sz w:val="28"/>
        </w:rPr>
      </w:pPr>
      <w:r>
        <w:rPr>
          <w:sz w:val="28"/>
        </w:rPr>
        <w:t>приказом Министерства финансов Российской Федерации                       от 30 декабря 2017 г. № 278н «Об утверждении федерального стандарта бухгалтерского учета для организаций государственного сектора «Отчет о движение денежных средств»;</w:t>
      </w:r>
    </w:p>
    <w:p w14:paraId="39000000" w14:textId="77777777" w:rsidR="00E34537" w:rsidRDefault="00CB72B3">
      <w:pPr>
        <w:pStyle w:val="af1"/>
        <w:ind w:firstLine="567"/>
        <w:contextualSpacing/>
        <w:rPr>
          <w:sz w:val="28"/>
        </w:rPr>
      </w:pPr>
      <w:r>
        <w:rPr>
          <w:sz w:val="28"/>
        </w:rPr>
        <w:lastRenderedPageBreak/>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p>
    <w:p w14:paraId="3A000000" w14:textId="77777777" w:rsidR="00E34537" w:rsidRDefault="00CB72B3">
      <w:pPr>
        <w:pStyle w:val="af1"/>
        <w:ind w:firstLine="567"/>
        <w:contextualSpacing/>
        <w:rPr>
          <w:sz w:val="28"/>
        </w:rPr>
      </w:pPr>
      <w:r>
        <w:rPr>
          <w:sz w:val="28"/>
        </w:rPr>
        <w:t xml:space="preserve">приказом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14:paraId="3B000000" w14:textId="77777777" w:rsidR="00E34537" w:rsidRDefault="00CB72B3">
      <w:pPr>
        <w:pStyle w:val="af1"/>
        <w:ind w:firstLine="567"/>
        <w:contextualSpacing/>
        <w:rPr>
          <w:sz w:val="28"/>
        </w:rPr>
      </w:pPr>
      <w:r>
        <w:rPr>
          <w:sz w:val="28"/>
        </w:rPr>
        <w:t>приказом Министерства финансов Российской Федерации                                  от 6 декабря 2010 г. № 162н «Об утверждении Плана счетов бюджетного учета и Инструкции по его применению»;</w:t>
      </w:r>
    </w:p>
    <w:p w14:paraId="3C000000" w14:textId="77777777" w:rsidR="00E34537" w:rsidRDefault="00CB72B3">
      <w:pPr>
        <w:pStyle w:val="af1"/>
        <w:ind w:firstLine="567"/>
        <w:contextualSpacing/>
        <w:rPr>
          <w:sz w:val="28"/>
        </w:rPr>
      </w:pPr>
      <w:r>
        <w:rPr>
          <w:sz w:val="28"/>
        </w:rPr>
        <w:t xml:space="preserve">приказом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14:paraId="3D000000" w14:textId="77777777" w:rsidR="00E34537" w:rsidRDefault="00CB72B3">
      <w:pPr>
        <w:pStyle w:val="af1"/>
        <w:ind w:firstLine="567"/>
        <w:contextualSpacing/>
        <w:rPr>
          <w:sz w:val="28"/>
        </w:rPr>
      </w:pPr>
      <w:r>
        <w:rPr>
          <w:sz w:val="28"/>
        </w:rPr>
        <w:t>приказом Министерства финансов Российской Федерации                                    от 08 июня 2018 г. № 132н «Порядок формирования и применения кодов бюджетной классификации Российской Федерации»;</w:t>
      </w:r>
    </w:p>
    <w:p w14:paraId="3E000000" w14:textId="77777777" w:rsidR="00E34537" w:rsidRDefault="00CB72B3">
      <w:pPr>
        <w:pStyle w:val="af1"/>
        <w:ind w:firstLine="567"/>
        <w:contextualSpacing/>
        <w:rPr>
          <w:sz w:val="28"/>
        </w:rPr>
      </w:pPr>
      <w:r>
        <w:rPr>
          <w:sz w:val="28"/>
        </w:rPr>
        <w:t>приказом Министерства финансов Российской Федерации                                    от 29 ноября 2017 г. № 209н «Порядок  применения классификации сектора государственного управления»;</w:t>
      </w:r>
    </w:p>
    <w:p w14:paraId="3F000000" w14:textId="77777777" w:rsidR="00E34537" w:rsidRDefault="00CB72B3">
      <w:pPr>
        <w:pStyle w:val="af1"/>
        <w:ind w:firstLine="567"/>
        <w:contextualSpacing/>
        <w:rPr>
          <w:sz w:val="28"/>
        </w:rPr>
      </w:pPr>
      <w:r>
        <w:rPr>
          <w:sz w:val="28"/>
        </w:rPr>
        <w:t xml:space="preserve">приказом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t>
      </w:r>
      <w:r>
        <w:rPr>
          <w:sz w:val="28"/>
        </w:rPr>
        <w:lastRenderedPageBreak/>
        <w:t>внебюджетными фондами, государственными (муниципальными) учреждениями, и Методических указаний по их применению»;</w:t>
      </w:r>
    </w:p>
    <w:p w14:paraId="40000000" w14:textId="77777777" w:rsidR="00E34537" w:rsidRDefault="00CB72B3">
      <w:pPr>
        <w:pStyle w:val="af1"/>
        <w:ind w:firstLine="567"/>
        <w:rPr>
          <w:sz w:val="28"/>
        </w:rPr>
      </w:pPr>
      <w:r>
        <w:rPr>
          <w:sz w:val="28"/>
        </w:rPr>
        <w:t>постановлением Правления Пенсионного фонда Российской Федерации от 25 декабря 2019 г. № 728п «Об Утверждении Учетной политики по исполнению бюджета Пенсионного фонда Российской Федерации» в части возложенных функций по ведению бюджетного учета.</w:t>
      </w:r>
    </w:p>
    <w:p w14:paraId="41000000" w14:textId="77777777" w:rsidR="00E34537" w:rsidRDefault="00CB72B3">
      <w:pPr>
        <w:spacing w:line="360" w:lineRule="auto"/>
        <w:ind w:firstLine="567"/>
        <w:jc w:val="both"/>
        <w:rPr>
          <w:sz w:val="28"/>
        </w:rPr>
      </w:pPr>
      <w:proofErr w:type="gramStart"/>
      <w:r>
        <w:rPr>
          <w:sz w:val="28"/>
        </w:rPr>
        <w:t>В соответствии с совместным письмом Федерального Казначейства и ПФР от 08.08.2013 №42-7.4-05/5.6-476/КА-03-26/12094 (пункт 20 Плана мероприятий «Дорожная карта» «Перевод на кассовое обслуживание исполнения бюджета ПФР территориальными органами Федерального казначейства с 01.01.2014 года») Управлению 09.01.2014 года открыты следующие лицевые счета в Управлении Федерального казначейства по Костромской области: 03414П96710 - в части осуществления функций получателя бюджетных средств на</w:t>
      </w:r>
      <w:proofErr w:type="gramEnd"/>
      <w:r>
        <w:rPr>
          <w:sz w:val="28"/>
        </w:rPr>
        <w:t xml:space="preserve"> содержание Управления; 05414П96710 - для учета операций со средствами, поступающими во временное распоряжение получателя бюджетных средств.</w:t>
      </w:r>
    </w:p>
    <w:p w14:paraId="42000000" w14:textId="77777777" w:rsidR="00E34537" w:rsidRDefault="00E34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rPr>
      </w:pPr>
    </w:p>
    <w:p w14:paraId="43000000" w14:textId="77777777" w:rsidR="00E34537" w:rsidRDefault="00CB72B3">
      <w:pPr>
        <w:pStyle w:val="af1"/>
        <w:ind w:firstLine="567"/>
        <w:contextualSpacing/>
        <w:jc w:val="center"/>
        <w:rPr>
          <w:sz w:val="28"/>
        </w:rPr>
      </w:pPr>
      <w:r>
        <w:rPr>
          <w:sz w:val="28"/>
        </w:rPr>
        <w:t>П. Правила документооборота и технология обработки учетной информации</w:t>
      </w:r>
    </w:p>
    <w:p w14:paraId="44000000" w14:textId="77777777" w:rsidR="00E34537" w:rsidRDefault="00E34537">
      <w:pPr>
        <w:pStyle w:val="af1"/>
        <w:ind w:firstLine="567"/>
        <w:contextualSpacing/>
        <w:rPr>
          <w:sz w:val="28"/>
        </w:rPr>
      </w:pPr>
    </w:p>
    <w:p w14:paraId="45000000" w14:textId="77777777" w:rsidR="00E34537" w:rsidRDefault="00CB72B3">
      <w:pPr>
        <w:pStyle w:val="af1"/>
        <w:numPr>
          <w:ilvl w:val="0"/>
          <w:numId w:val="2"/>
        </w:numPr>
        <w:ind w:left="0" w:firstLine="567"/>
        <w:contextualSpacing/>
        <w:rPr>
          <w:sz w:val="28"/>
        </w:rPr>
      </w:pPr>
      <w:r>
        <w:rPr>
          <w:sz w:val="28"/>
        </w:rPr>
        <w:t>В целях ведения бюджетного учета и составления на его основе бухгалтерской (финансовой) отчетности в Управлении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«Зарплата и кадры» «</w:t>
      </w:r>
      <w:proofErr w:type="spellStart"/>
      <w:r>
        <w:rPr>
          <w:sz w:val="28"/>
        </w:rPr>
        <w:t>Финконтроль</w:t>
      </w:r>
      <w:proofErr w:type="spellEnd"/>
      <w:r>
        <w:rPr>
          <w:sz w:val="28"/>
        </w:rPr>
        <w:t xml:space="preserve">» на базе типового программного </w:t>
      </w:r>
      <w:proofErr w:type="gramStart"/>
      <w:r>
        <w:rPr>
          <w:sz w:val="28"/>
        </w:rPr>
        <w:t>обеспечения</w:t>
      </w:r>
      <w:proofErr w:type="gramEnd"/>
      <w:r>
        <w:rPr>
          <w:sz w:val="28"/>
        </w:rPr>
        <w:t xml:space="preserve"> на платформе 1С «Предприятие».</w:t>
      </w:r>
    </w:p>
    <w:p w14:paraId="46000000" w14:textId="4752593E" w:rsidR="00E34537" w:rsidRDefault="00CB72B3">
      <w:pPr>
        <w:pStyle w:val="af1"/>
        <w:ind w:firstLine="0"/>
        <w:contextualSpacing/>
        <w:rPr>
          <w:sz w:val="28"/>
        </w:rPr>
      </w:pPr>
      <w:r>
        <w:rPr>
          <w:sz w:val="28"/>
        </w:rPr>
        <w:t xml:space="preserve">          В Управлении меры  по обеспечению сохранности электронных данных бюджетного учета и отчетности;  перечень направлений, по </w:t>
      </w:r>
      <w:r>
        <w:rPr>
          <w:sz w:val="28"/>
        </w:rPr>
        <w:lastRenderedPageBreak/>
        <w:t xml:space="preserve">которым осуществляется электронный документооборот с использованием телекоммуникационных каналов связи и электронной подписи устанавливается в Технологии обработки </w:t>
      </w:r>
      <w:r w:rsidR="00BB151C">
        <w:rPr>
          <w:sz w:val="28"/>
        </w:rPr>
        <w:t>учетной информации (приложение 1</w:t>
      </w:r>
      <w:r>
        <w:rPr>
          <w:sz w:val="28"/>
        </w:rPr>
        <w:t xml:space="preserve"> к настоящей Учетной политике).</w:t>
      </w:r>
    </w:p>
    <w:p w14:paraId="71DD65F0" w14:textId="77777777" w:rsidR="00916373" w:rsidRDefault="00916373">
      <w:pPr>
        <w:pStyle w:val="af1"/>
        <w:ind w:firstLine="0"/>
        <w:contextualSpacing/>
        <w:rPr>
          <w:sz w:val="28"/>
        </w:rPr>
      </w:pPr>
    </w:p>
    <w:p w14:paraId="1563A6DA" w14:textId="77777777" w:rsidR="008D7E07" w:rsidRDefault="008D7E07">
      <w:pPr>
        <w:pStyle w:val="af1"/>
        <w:ind w:firstLine="0"/>
        <w:contextualSpacing/>
        <w:rPr>
          <w:sz w:val="28"/>
        </w:rPr>
      </w:pPr>
    </w:p>
    <w:p w14:paraId="4A000000" w14:textId="77777777" w:rsidR="00E34537" w:rsidRDefault="00CB72B3">
      <w:pPr>
        <w:pStyle w:val="af1"/>
        <w:ind w:firstLine="0"/>
        <w:contextualSpacing/>
        <w:jc w:val="center"/>
        <w:rPr>
          <w:sz w:val="28"/>
        </w:rPr>
      </w:pPr>
      <w:r>
        <w:rPr>
          <w:sz w:val="28"/>
        </w:rPr>
        <w:t>Ш. Учет отдельных видов имущества и обязательств</w:t>
      </w:r>
    </w:p>
    <w:p w14:paraId="4B000000" w14:textId="77777777" w:rsidR="00E34537" w:rsidRDefault="00E34537">
      <w:pPr>
        <w:pStyle w:val="af1"/>
        <w:ind w:firstLine="0"/>
        <w:contextualSpacing/>
        <w:jc w:val="center"/>
        <w:rPr>
          <w:sz w:val="28"/>
        </w:rPr>
      </w:pPr>
    </w:p>
    <w:p w14:paraId="4C000000" w14:textId="77777777" w:rsidR="00E34537" w:rsidRDefault="00CB72B3">
      <w:pPr>
        <w:pStyle w:val="af1"/>
        <w:numPr>
          <w:ilvl w:val="0"/>
          <w:numId w:val="3"/>
        </w:numPr>
        <w:contextualSpacing/>
        <w:rPr>
          <w:sz w:val="28"/>
        </w:rPr>
      </w:pPr>
      <w:r>
        <w:rPr>
          <w:sz w:val="28"/>
        </w:rPr>
        <w:t>Основные средства.</w:t>
      </w:r>
    </w:p>
    <w:p w14:paraId="4D000000" w14:textId="6C11AB04" w:rsidR="00E34537" w:rsidRDefault="00CB72B3">
      <w:pPr>
        <w:pStyle w:val="af1"/>
        <w:numPr>
          <w:ilvl w:val="1"/>
          <w:numId w:val="3"/>
        </w:numPr>
        <w:tabs>
          <w:tab w:val="left" w:pos="993"/>
        </w:tabs>
        <w:ind w:left="0" w:firstLine="360"/>
        <w:contextualSpacing/>
        <w:rPr>
          <w:sz w:val="28"/>
        </w:rPr>
      </w:pPr>
      <w:r>
        <w:rPr>
          <w:sz w:val="28"/>
        </w:rPr>
        <w:t xml:space="preserve">Управление учитывает в составе основных средств объекты имущества, независимо от их стоимости, со сроком полезного использования более 12 месяцев. Перечень объектов, которые относятся к группе «Инвентарь производственный и хозяйственный» приведен в Приложении </w:t>
      </w:r>
      <w:r w:rsidR="00BB151C">
        <w:rPr>
          <w:sz w:val="28"/>
        </w:rPr>
        <w:t>2</w:t>
      </w:r>
      <w:r>
        <w:rPr>
          <w:sz w:val="28"/>
        </w:rPr>
        <w:t xml:space="preserve"> к настоящей Учетной политике.</w:t>
      </w:r>
    </w:p>
    <w:p w14:paraId="4E000000" w14:textId="77777777" w:rsidR="00E34537" w:rsidRDefault="00CB72B3">
      <w:pPr>
        <w:pStyle w:val="af1"/>
        <w:ind w:firstLine="426"/>
        <w:contextualSpacing/>
        <w:rPr>
          <w:sz w:val="28"/>
        </w:rPr>
      </w:pPr>
      <w:r>
        <w:rPr>
          <w:sz w:val="28"/>
        </w:rPr>
        <w:t>1.2</w:t>
      </w:r>
      <w:proofErr w:type="gramStart"/>
      <w:r>
        <w:rPr>
          <w:sz w:val="28"/>
        </w:rPr>
        <w:t xml:space="preserve">  Н</w:t>
      </w:r>
      <w:proofErr w:type="gramEnd"/>
      <w:r>
        <w:rPr>
          <w:sz w:val="28"/>
        </w:rPr>
        <w:t>е проставляются инвентарные номера на следующих объектах имущества в силу особенностей регистрации их учета (кадастровый номер, государственный регистрационный знак):</w:t>
      </w:r>
    </w:p>
    <w:p w14:paraId="4F000000" w14:textId="77777777" w:rsidR="00E34537" w:rsidRDefault="00CB72B3">
      <w:pPr>
        <w:pStyle w:val="af1"/>
        <w:ind w:left="284" w:firstLine="0"/>
        <w:contextualSpacing/>
        <w:rPr>
          <w:sz w:val="28"/>
        </w:rPr>
      </w:pPr>
      <w:r>
        <w:rPr>
          <w:sz w:val="28"/>
        </w:rPr>
        <w:t>- здания, помещения;</w:t>
      </w:r>
    </w:p>
    <w:p w14:paraId="50000000" w14:textId="77777777" w:rsidR="00E34537" w:rsidRDefault="00CB72B3">
      <w:pPr>
        <w:pStyle w:val="af1"/>
        <w:ind w:left="284" w:firstLine="0"/>
        <w:contextualSpacing/>
        <w:rPr>
          <w:sz w:val="28"/>
        </w:rPr>
      </w:pPr>
      <w:r>
        <w:rPr>
          <w:sz w:val="28"/>
        </w:rPr>
        <w:t>- автомобили и прицепы к ним.</w:t>
      </w:r>
    </w:p>
    <w:p w14:paraId="51000000" w14:textId="77777777" w:rsidR="00E34537" w:rsidRDefault="00CB72B3">
      <w:pPr>
        <w:pStyle w:val="af1"/>
        <w:ind w:firstLine="426"/>
        <w:contextualSpacing/>
        <w:rPr>
          <w:sz w:val="28"/>
        </w:rPr>
      </w:pPr>
      <w:r>
        <w:rPr>
          <w:sz w:val="28"/>
        </w:rPr>
        <w:t>1.3</w:t>
      </w:r>
      <w:proofErr w:type="gramStart"/>
      <w:r>
        <w:rPr>
          <w:sz w:val="28"/>
        </w:rPr>
        <w:t xml:space="preserve"> Н</w:t>
      </w:r>
      <w:proofErr w:type="gramEnd"/>
      <w:r>
        <w:rPr>
          <w:sz w:val="28"/>
        </w:rPr>
        <w:t>е наносятся инвентарные номера на объекты биологических ресурсов.</w:t>
      </w:r>
    </w:p>
    <w:p w14:paraId="52000000" w14:textId="77777777" w:rsidR="00E34537" w:rsidRDefault="00E34537">
      <w:pPr>
        <w:pStyle w:val="af1"/>
        <w:ind w:firstLine="360"/>
        <w:contextualSpacing/>
        <w:rPr>
          <w:sz w:val="28"/>
        </w:rPr>
      </w:pPr>
    </w:p>
    <w:p w14:paraId="53000000" w14:textId="77777777" w:rsidR="00E34537" w:rsidRDefault="00CB72B3">
      <w:pPr>
        <w:pStyle w:val="af1"/>
        <w:numPr>
          <w:ilvl w:val="0"/>
          <w:numId w:val="3"/>
        </w:numPr>
        <w:contextualSpacing/>
        <w:rPr>
          <w:sz w:val="28"/>
        </w:rPr>
      </w:pPr>
      <w:r>
        <w:rPr>
          <w:sz w:val="28"/>
        </w:rPr>
        <w:t>Материальные запасы.</w:t>
      </w:r>
    </w:p>
    <w:p w14:paraId="54000000" w14:textId="6E4F7253" w:rsidR="00E34537" w:rsidRDefault="00CB72B3">
      <w:pPr>
        <w:pStyle w:val="af1"/>
        <w:ind w:firstLine="284"/>
        <w:contextualSpacing/>
        <w:rPr>
          <w:sz w:val="28"/>
        </w:rPr>
      </w:pPr>
      <w:r>
        <w:rPr>
          <w:sz w:val="28"/>
        </w:rPr>
        <w:t xml:space="preserve"> 2.1  Управление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w:t>
      </w:r>
      <w:r w:rsidR="00BB151C">
        <w:rPr>
          <w:sz w:val="28"/>
        </w:rPr>
        <w:t>2</w:t>
      </w:r>
      <w:r>
        <w:rPr>
          <w:sz w:val="28"/>
        </w:rPr>
        <w:t xml:space="preserve"> к настоящей Учетной политике.</w:t>
      </w:r>
    </w:p>
    <w:p w14:paraId="064D61FB" w14:textId="0E3914DB" w:rsidR="008439C7" w:rsidRDefault="008439C7">
      <w:pPr>
        <w:pStyle w:val="af1"/>
        <w:ind w:firstLine="284"/>
        <w:contextualSpacing/>
        <w:rPr>
          <w:sz w:val="28"/>
        </w:rPr>
      </w:pPr>
      <w:r>
        <w:rPr>
          <w:sz w:val="28"/>
        </w:rPr>
        <w:t xml:space="preserve"> 2.2   Учет находящихся на хранении и выдаваемых в рамках хозяйственной деятельности учреждения бланков строгой отчетности </w:t>
      </w:r>
      <w:r>
        <w:rPr>
          <w:sz w:val="28"/>
        </w:rPr>
        <w:lastRenderedPageBreak/>
        <w:t xml:space="preserve">ведется на </w:t>
      </w:r>
      <w:proofErr w:type="spellStart"/>
      <w:r>
        <w:rPr>
          <w:sz w:val="28"/>
        </w:rPr>
        <w:t>забалансовом</w:t>
      </w:r>
      <w:proofErr w:type="spellEnd"/>
      <w:r>
        <w:rPr>
          <w:sz w:val="28"/>
        </w:rPr>
        <w:t xml:space="preserve"> счете 03 «Бланки строгой отчетности» в условной оценке один рубль за один бланк.</w:t>
      </w:r>
    </w:p>
    <w:p w14:paraId="36F725BC" w14:textId="34233A46" w:rsidR="008E4C4C" w:rsidRDefault="008E4C4C">
      <w:pPr>
        <w:pStyle w:val="af1"/>
        <w:ind w:firstLine="284"/>
        <w:contextualSpacing/>
        <w:rPr>
          <w:sz w:val="28"/>
        </w:rPr>
      </w:pPr>
      <w:r>
        <w:rPr>
          <w:sz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27.07.2012г. № 211р «Об утверждении Порядка приема, учета, хранения и выдачи бланков государственных сертификатов на материнский (семейный) капитал».</w:t>
      </w:r>
    </w:p>
    <w:p w14:paraId="2949E989" w14:textId="70191C25" w:rsidR="00BD2208" w:rsidRDefault="00BD2208">
      <w:pPr>
        <w:pStyle w:val="af1"/>
        <w:ind w:firstLine="284"/>
        <w:contextualSpacing/>
        <w:rPr>
          <w:sz w:val="28"/>
        </w:rPr>
      </w:pPr>
      <w:r>
        <w:rPr>
          <w:sz w:val="28"/>
        </w:rPr>
        <w:t>Аналитический учет по счету ведется материально-ответственн</w:t>
      </w:r>
      <w:r w:rsidR="00680A17">
        <w:rPr>
          <w:sz w:val="28"/>
        </w:rPr>
        <w:t>ым лицом в разрезе видов бланков государственных сертификатов: незаполненный, заполненный, испорченный.</w:t>
      </w:r>
    </w:p>
    <w:p w14:paraId="3C3A3519" w14:textId="2276B6F7" w:rsidR="008439C7" w:rsidRDefault="006616AF">
      <w:pPr>
        <w:pStyle w:val="af1"/>
        <w:ind w:firstLine="284"/>
        <w:contextualSpacing/>
        <w:rPr>
          <w:sz w:val="28"/>
        </w:rPr>
      </w:pPr>
      <w:r>
        <w:rPr>
          <w:sz w:val="28"/>
        </w:rPr>
        <w:t xml:space="preserve">Ежемесячно, </w:t>
      </w:r>
      <w:proofErr w:type="gramStart"/>
      <w:r>
        <w:rPr>
          <w:sz w:val="28"/>
        </w:rPr>
        <w:t>ответственным</w:t>
      </w:r>
      <w:r w:rsidR="00D535B3">
        <w:rPr>
          <w:sz w:val="28"/>
        </w:rPr>
        <w:t>и</w:t>
      </w:r>
      <w:proofErr w:type="gramEnd"/>
      <w:r>
        <w:rPr>
          <w:sz w:val="28"/>
        </w:rPr>
        <w:t xml:space="preserve"> за выдачу сертификатов на материнский (семейный) капитал</w:t>
      </w:r>
      <w:r w:rsidR="00D535B3">
        <w:rPr>
          <w:sz w:val="28"/>
        </w:rPr>
        <w:t xml:space="preserve"> заполняются </w:t>
      </w:r>
      <w:r>
        <w:rPr>
          <w:sz w:val="28"/>
        </w:rPr>
        <w:t xml:space="preserve">Реестр заполненных бланков государственных сертификатов на материнский (семейный) капитал, не врученных заявителям (приложение </w:t>
      </w:r>
      <w:r w:rsidR="00BB151C">
        <w:rPr>
          <w:sz w:val="28"/>
        </w:rPr>
        <w:t>3</w:t>
      </w:r>
      <w:r>
        <w:rPr>
          <w:sz w:val="28"/>
        </w:rPr>
        <w:t xml:space="preserve">) и реестр полученных и выданных бланков государственных сертификатов на материнский (семейный) капитал (приложение </w:t>
      </w:r>
      <w:r w:rsidR="00BB151C">
        <w:rPr>
          <w:sz w:val="28"/>
        </w:rPr>
        <w:t>4</w:t>
      </w:r>
      <w:r>
        <w:rPr>
          <w:sz w:val="28"/>
        </w:rPr>
        <w:t>)</w:t>
      </w:r>
      <w:r w:rsidR="00D535B3">
        <w:rPr>
          <w:sz w:val="28"/>
        </w:rPr>
        <w:t>.</w:t>
      </w:r>
      <w:r w:rsidR="008439C7">
        <w:rPr>
          <w:sz w:val="28"/>
        </w:rPr>
        <w:t xml:space="preserve">  </w:t>
      </w:r>
    </w:p>
    <w:p w14:paraId="55000000" w14:textId="5E7EBA48" w:rsidR="00E34537" w:rsidRDefault="00CB72B3">
      <w:pPr>
        <w:pStyle w:val="af1"/>
        <w:ind w:firstLine="284"/>
        <w:contextualSpacing/>
        <w:rPr>
          <w:sz w:val="28"/>
        </w:rPr>
      </w:pPr>
      <w:r>
        <w:rPr>
          <w:sz w:val="28"/>
        </w:rPr>
        <w:t xml:space="preserve"> 2.2  Учет на </w:t>
      </w:r>
      <w:proofErr w:type="spellStart"/>
      <w:r>
        <w:rPr>
          <w:sz w:val="28"/>
        </w:rPr>
        <w:t>забалансовом</w:t>
      </w:r>
      <w:proofErr w:type="spellEnd"/>
      <w:r>
        <w:rPr>
          <w:sz w:val="28"/>
        </w:rPr>
        <w:t xml:space="preserve"> счете 09 «Запасные части к транспортным средствам, взамен </w:t>
      </w:r>
      <w:proofErr w:type="gramStart"/>
      <w:r>
        <w:rPr>
          <w:sz w:val="28"/>
        </w:rPr>
        <w:t>изношенных</w:t>
      </w:r>
      <w:proofErr w:type="gramEnd"/>
      <w:r>
        <w:rPr>
          <w:sz w:val="28"/>
        </w:rPr>
        <w:t xml:space="preserve">» ведется по балансовой стоимости. Учету подлежат запасные части, перечень которых приведен в Приложении </w:t>
      </w:r>
      <w:r w:rsidR="00BB151C">
        <w:rPr>
          <w:sz w:val="28"/>
        </w:rPr>
        <w:t>5</w:t>
      </w:r>
      <w:r>
        <w:rPr>
          <w:sz w:val="28"/>
        </w:rPr>
        <w:t xml:space="preserve"> к настоящей Учетной политике. Списание с </w:t>
      </w:r>
      <w:proofErr w:type="spellStart"/>
      <w:r>
        <w:rPr>
          <w:sz w:val="28"/>
        </w:rPr>
        <w:t>забалансового</w:t>
      </w:r>
      <w:proofErr w:type="spellEnd"/>
      <w:r>
        <w:rPr>
          <w:sz w:val="28"/>
        </w:rPr>
        <w:t xml:space="preserve"> счета 09 «Запасные части к транспортным средствам, взамен изношенных» осуществляется на основании Акта о списании материальных запасов (форма по ОКУД 0504230).</w:t>
      </w:r>
    </w:p>
    <w:p w14:paraId="56000000" w14:textId="77777777" w:rsidR="00E34537" w:rsidRDefault="00E34537">
      <w:pPr>
        <w:pStyle w:val="af1"/>
        <w:ind w:firstLine="284"/>
        <w:contextualSpacing/>
        <w:rPr>
          <w:sz w:val="28"/>
        </w:rPr>
      </w:pPr>
    </w:p>
    <w:p w14:paraId="57000000" w14:textId="77777777" w:rsidR="00E34537" w:rsidRDefault="00CB72B3">
      <w:pPr>
        <w:pStyle w:val="af1"/>
        <w:ind w:left="360" w:firstLine="0"/>
        <w:contextualSpacing/>
        <w:rPr>
          <w:sz w:val="28"/>
        </w:rPr>
      </w:pPr>
      <w:r>
        <w:rPr>
          <w:sz w:val="28"/>
        </w:rPr>
        <w:t xml:space="preserve">  3. Расчеты с подотчетными лицами.</w:t>
      </w:r>
    </w:p>
    <w:p w14:paraId="58000000" w14:textId="7E17AEEC" w:rsidR="00E34537" w:rsidRDefault="00CB72B3">
      <w:pPr>
        <w:spacing w:line="360" w:lineRule="auto"/>
        <w:jc w:val="both"/>
        <w:rPr>
          <w:sz w:val="28"/>
        </w:rPr>
      </w:pPr>
      <w:r>
        <w:rPr>
          <w:sz w:val="28"/>
        </w:rPr>
        <w:t xml:space="preserve">       3.1 Сроки перечисления, выдачи наличных денег в подотчет и перечень должностных лиц устанавливаются согласно Приложению </w:t>
      </w:r>
      <w:r w:rsidR="00BB151C">
        <w:rPr>
          <w:sz w:val="28"/>
        </w:rPr>
        <w:t>6</w:t>
      </w:r>
      <w:r>
        <w:rPr>
          <w:sz w:val="28"/>
        </w:rPr>
        <w:t xml:space="preserve"> к настоящей Учетной политике.</w:t>
      </w:r>
    </w:p>
    <w:p w14:paraId="59000000" w14:textId="7846D0D3" w:rsidR="00E34537" w:rsidRDefault="00874FB2">
      <w:pPr>
        <w:numPr>
          <w:ilvl w:val="1"/>
          <w:numId w:val="4"/>
        </w:numPr>
        <w:spacing w:line="360" w:lineRule="auto"/>
        <w:ind w:left="0" w:firstLine="344"/>
        <w:jc w:val="both"/>
        <w:rPr>
          <w:sz w:val="28"/>
        </w:rPr>
      </w:pPr>
      <w:r>
        <w:rPr>
          <w:sz w:val="28"/>
        </w:rPr>
        <w:t xml:space="preserve"> Денежные средства</w:t>
      </w:r>
      <w:r w:rsidR="00CB72B3">
        <w:rPr>
          <w:sz w:val="28"/>
        </w:rPr>
        <w:t xml:space="preserve"> выдаются (перечисляются на банковскую карту сотрудника) по распоряжению руководителя (заместителя руководителя) </w:t>
      </w:r>
      <w:r w:rsidR="00CB72B3">
        <w:rPr>
          <w:sz w:val="28"/>
        </w:rPr>
        <w:lastRenderedPageBreak/>
        <w:t xml:space="preserve">органа системы ПФР под отчет на основании письменного заявления получателя </w:t>
      </w:r>
      <w:r w:rsidR="009C608B">
        <w:rPr>
          <w:sz w:val="28"/>
        </w:rPr>
        <w:t xml:space="preserve">(приложение </w:t>
      </w:r>
      <w:r w:rsidR="00BB151C">
        <w:rPr>
          <w:sz w:val="28"/>
        </w:rPr>
        <w:t>7</w:t>
      </w:r>
      <w:r w:rsidR="002C2EB4">
        <w:rPr>
          <w:sz w:val="28"/>
        </w:rPr>
        <w:t>,</w:t>
      </w:r>
      <w:r w:rsidR="00BB151C">
        <w:rPr>
          <w:sz w:val="28"/>
        </w:rPr>
        <w:t>8</w:t>
      </w:r>
      <w:r w:rsidR="002C2EB4">
        <w:rPr>
          <w:sz w:val="28"/>
        </w:rPr>
        <w:t xml:space="preserve"> к настоящей Учетной политике</w:t>
      </w:r>
      <w:r w:rsidR="009C608B">
        <w:rPr>
          <w:sz w:val="28"/>
        </w:rPr>
        <w:t xml:space="preserve">) </w:t>
      </w:r>
      <w:r w:rsidR="00CB72B3">
        <w:rPr>
          <w:sz w:val="28"/>
        </w:rPr>
        <w:t>с указанием назначения и срока, на который они выдаются. Аванс выдается в пределах сумм, определяемых целевым назначением.</w:t>
      </w:r>
    </w:p>
    <w:p w14:paraId="01B9FBBD" w14:textId="6B9A6B07" w:rsidR="00874FB2" w:rsidRDefault="00874FB2">
      <w:pPr>
        <w:numPr>
          <w:ilvl w:val="1"/>
          <w:numId w:val="4"/>
        </w:numPr>
        <w:spacing w:line="360" w:lineRule="auto"/>
        <w:ind w:left="0" w:firstLine="344"/>
        <w:jc w:val="both"/>
        <w:rPr>
          <w:sz w:val="28"/>
        </w:rPr>
      </w:pPr>
      <w:r>
        <w:rPr>
          <w:sz w:val="28"/>
        </w:rPr>
        <w:t xml:space="preserve">     Выдача под отчет денежных документов (марки, конверты и т.д.) может производиться подотчетному лицу независимо от наличия денежных документов в подотчете. Почтовые расходы оформляются в конце</w:t>
      </w:r>
      <w:r w:rsidR="00D753A0">
        <w:rPr>
          <w:sz w:val="28"/>
        </w:rPr>
        <w:t xml:space="preserve"> текущего месяца Реестрами отправленной корреспонденции (приложение </w:t>
      </w:r>
      <w:r w:rsidR="00BB151C">
        <w:rPr>
          <w:sz w:val="28"/>
        </w:rPr>
        <w:t>9</w:t>
      </w:r>
      <w:bookmarkStart w:id="0" w:name="_GoBack"/>
      <w:bookmarkEnd w:id="0"/>
      <w:r w:rsidR="00D753A0">
        <w:rPr>
          <w:sz w:val="28"/>
        </w:rPr>
        <w:t xml:space="preserve"> к настоящей Учетной политике)</w:t>
      </w:r>
    </w:p>
    <w:p w14:paraId="5A000000" w14:textId="77777777" w:rsidR="00E34537" w:rsidRDefault="00CB72B3">
      <w:pPr>
        <w:numPr>
          <w:ilvl w:val="1"/>
          <w:numId w:val="4"/>
        </w:numPr>
        <w:spacing w:line="360" w:lineRule="auto"/>
        <w:ind w:left="0" w:firstLine="426"/>
        <w:jc w:val="both"/>
        <w:rPr>
          <w:sz w:val="28"/>
        </w:rPr>
      </w:pPr>
      <w:r>
        <w:rPr>
          <w:sz w:val="28"/>
        </w:rPr>
        <w:t>Проверка Авансового отчета структурными подразделениями,  ведущими бюджетный учет, его утверждение руководителем органа системы ПФР и окончательный расчет по суммам, выданным в подотчет, осуществляются – в срок, не превышающий 5 рабочих дней после дня истечения срока представления Авансового отчета.</w:t>
      </w:r>
    </w:p>
    <w:p w14:paraId="5C000000" w14:textId="77777777" w:rsidR="00E34537" w:rsidRDefault="00CB72B3">
      <w:pPr>
        <w:pStyle w:val="af1"/>
        <w:ind w:left="360" w:firstLine="66"/>
        <w:contextualSpacing/>
        <w:rPr>
          <w:sz w:val="28"/>
        </w:rPr>
      </w:pPr>
      <w:r>
        <w:rPr>
          <w:sz w:val="28"/>
        </w:rPr>
        <w:t>4.  Расчеты с контрагентами.</w:t>
      </w:r>
    </w:p>
    <w:p w14:paraId="5D000000" w14:textId="77777777" w:rsidR="00E34537" w:rsidRDefault="00CB72B3">
      <w:pPr>
        <w:pStyle w:val="af1"/>
        <w:numPr>
          <w:ilvl w:val="1"/>
          <w:numId w:val="5"/>
        </w:numPr>
        <w:tabs>
          <w:tab w:val="left" w:pos="851"/>
        </w:tabs>
        <w:ind w:left="0" w:firstLine="426"/>
        <w:contextualSpacing/>
        <w:rPr>
          <w:sz w:val="28"/>
        </w:rPr>
      </w:pPr>
      <w:r>
        <w:rPr>
          <w:sz w:val="28"/>
        </w:rPr>
        <w:t>Периодичность сверки с контрагентами определяется по состоянию на 01.01 текущего года перед составлением годовой отчетности.</w:t>
      </w:r>
    </w:p>
    <w:p w14:paraId="5E000000" w14:textId="77777777" w:rsidR="00E34537" w:rsidRDefault="00E34537">
      <w:pPr>
        <w:pStyle w:val="af1"/>
        <w:ind w:firstLine="567"/>
        <w:rPr>
          <w:sz w:val="28"/>
        </w:rPr>
      </w:pPr>
    </w:p>
    <w:p w14:paraId="5F000000" w14:textId="77777777" w:rsidR="00E34537" w:rsidRDefault="00CB72B3">
      <w:pPr>
        <w:pStyle w:val="af1"/>
        <w:spacing w:line="240" w:lineRule="auto"/>
        <w:ind w:hanging="567"/>
        <w:contextualSpacing/>
        <w:rPr>
          <w:sz w:val="24"/>
        </w:rPr>
      </w:pPr>
      <w:r>
        <w:rPr>
          <w:sz w:val="24"/>
        </w:rPr>
        <w:t xml:space="preserve">                 </w:t>
      </w:r>
    </w:p>
    <w:sectPr w:rsidR="00E34537">
      <w:pgSz w:w="11906" w:h="16838"/>
      <w:pgMar w:top="1134" w:right="850" w:bottom="1134" w:left="2127" w:header="708" w:footer="708" w:gutter="0"/>
      <w:pgNumType w:start="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panose1 w:val="02020603050405020304"/>
    <w:charset w:val="CC"/>
    <w:family w:val="roman"/>
    <w:pitch w:val="variable"/>
    <w:sig w:usb0="800002FF" w:usb1="0000084A" w:usb2="00000000" w:usb3="00000000" w:csb0="0000001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042"/>
    <w:multiLevelType w:val="multilevel"/>
    <w:tmpl w:val="6C1CDAA4"/>
    <w:lvl w:ilvl="0">
      <w:start w:val="1"/>
      <w:numFmt w:val="decimal"/>
      <w:lvlText w:val="%1."/>
      <w:lvlJc w:val="left"/>
      <w:pPr>
        <w:ind w:left="1902" w:hanging="133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15C977AA"/>
    <w:multiLevelType w:val="multilevel"/>
    <w:tmpl w:val="F8C4FF82"/>
    <w:lvl w:ilvl="0">
      <w:start w:val="3"/>
      <w:numFmt w:val="decimal"/>
      <w:lvlText w:val="%1"/>
      <w:lvlJc w:val="left"/>
      <w:pPr>
        <w:ind w:left="360" w:hanging="360"/>
      </w:pPr>
    </w:lvl>
    <w:lvl w:ilvl="1">
      <w:start w:val="2"/>
      <w:numFmt w:val="decimal"/>
      <w:lvlText w:val="%1.%2"/>
      <w:lvlJc w:val="left"/>
      <w:pPr>
        <w:ind w:left="704" w:hanging="360"/>
      </w:pPr>
    </w:lvl>
    <w:lvl w:ilvl="2">
      <w:start w:val="1"/>
      <w:numFmt w:val="decimal"/>
      <w:lvlText w:val="%1.%2.%3"/>
      <w:lvlJc w:val="left"/>
      <w:pPr>
        <w:ind w:left="1408" w:hanging="720"/>
      </w:pPr>
    </w:lvl>
    <w:lvl w:ilvl="3">
      <w:start w:val="1"/>
      <w:numFmt w:val="decimal"/>
      <w:lvlText w:val="%1.%2.%3.%4"/>
      <w:lvlJc w:val="left"/>
      <w:pPr>
        <w:ind w:left="1752" w:hanging="720"/>
      </w:pPr>
    </w:lvl>
    <w:lvl w:ilvl="4">
      <w:start w:val="1"/>
      <w:numFmt w:val="decimal"/>
      <w:lvlText w:val="%1.%2.%3.%4.%5"/>
      <w:lvlJc w:val="left"/>
      <w:pPr>
        <w:ind w:left="2456" w:hanging="1080"/>
      </w:pPr>
    </w:lvl>
    <w:lvl w:ilvl="5">
      <w:start w:val="1"/>
      <w:numFmt w:val="decimal"/>
      <w:lvlText w:val="%1.%2.%3.%4.%5.%6"/>
      <w:lvlJc w:val="left"/>
      <w:pPr>
        <w:ind w:left="2800" w:hanging="1080"/>
      </w:pPr>
    </w:lvl>
    <w:lvl w:ilvl="6">
      <w:start w:val="1"/>
      <w:numFmt w:val="decimal"/>
      <w:lvlText w:val="%1.%2.%3.%4.%5.%6.%7"/>
      <w:lvlJc w:val="left"/>
      <w:pPr>
        <w:ind w:left="3504" w:hanging="1440"/>
      </w:pPr>
    </w:lvl>
    <w:lvl w:ilvl="7">
      <w:start w:val="1"/>
      <w:numFmt w:val="decimal"/>
      <w:lvlText w:val="%1.%2.%3.%4.%5.%6.%7.%8"/>
      <w:lvlJc w:val="left"/>
      <w:pPr>
        <w:ind w:left="3848" w:hanging="1440"/>
      </w:pPr>
    </w:lvl>
    <w:lvl w:ilvl="8">
      <w:start w:val="1"/>
      <w:numFmt w:val="decimal"/>
      <w:lvlText w:val="%1.%2.%3.%4.%5.%6.%7.%8.%9"/>
      <w:lvlJc w:val="left"/>
      <w:pPr>
        <w:ind w:left="4552" w:hanging="1800"/>
      </w:pPr>
    </w:lvl>
  </w:abstractNum>
  <w:abstractNum w:abstractNumId="2">
    <w:nsid w:val="44A11E96"/>
    <w:multiLevelType w:val="multilevel"/>
    <w:tmpl w:val="27C4170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6F705FEC"/>
    <w:multiLevelType w:val="multilevel"/>
    <w:tmpl w:val="412A3488"/>
    <w:lvl w:ilvl="0">
      <w:start w:val="4"/>
      <w:numFmt w:val="decimal"/>
      <w:lvlText w:val="%1"/>
      <w:lvlJc w:val="left"/>
      <w:pPr>
        <w:ind w:left="375" w:hanging="375"/>
      </w:pPr>
    </w:lvl>
    <w:lvl w:ilvl="1">
      <w:start w:val="1"/>
      <w:numFmt w:val="decimal"/>
      <w:lvlText w:val="%1.%2"/>
      <w:lvlJc w:val="left"/>
      <w:pPr>
        <w:ind w:left="801" w:hanging="375"/>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
    <w:nsid w:val="732776AC"/>
    <w:multiLevelType w:val="multilevel"/>
    <w:tmpl w:val="D09ED552"/>
    <w:lvl w:ilvl="0">
      <w:start w:val="1"/>
      <w:numFmt w:val="decimal"/>
      <w:lvlText w:val="%1."/>
      <w:lvlJc w:val="left"/>
      <w:pPr>
        <w:ind w:left="720" w:hanging="360"/>
      </w:pPr>
    </w:lvl>
    <w:lvl w:ilvl="1">
      <w:start w:val="1"/>
      <w:numFmt w:val="decimal"/>
      <w:lvlText w:val="%1.%2"/>
      <w:lvlJc w:val="left"/>
      <w:pPr>
        <w:ind w:left="659" w:hanging="37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34537"/>
    <w:rsid w:val="00153F60"/>
    <w:rsid w:val="002C2EB4"/>
    <w:rsid w:val="00497935"/>
    <w:rsid w:val="006616AF"/>
    <w:rsid w:val="00680A17"/>
    <w:rsid w:val="0071308B"/>
    <w:rsid w:val="00730300"/>
    <w:rsid w:val="008439C7"/>
    <w:rsid w:val="00874FB2"/>
    <w:rsid w:val="008D7E07"/>
    <w:rsid w:val="008E4C4C"/>
    <w:rsid w:val="00916373"/>
    <w:rsid w:val="009C608B"/>
    <w:rsid w:val="00BB151C"/>
    <w:rsid w:val="00BD2208"/>
    <w:rsid w:val="00C165D2"/>
    <w:rsid w:val="00C67BD4"/>
    <w:rsid w:val="00C7796C"/>
    <w:rsid w:val="00CB72B3"/>
    <w:rsid w:val="00D535B3"/>
    <w:rsid w:val="00D753A0"/>
    <w:rsid w:val="00E34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spacing w:before="80"/>
      <w:jc w:val="center"/>
      <w:outlineLvl w:val="0"/>
    </w:pPr>
    <w:rPr>
      <w:b/>
      <w:spacing w:val="20"/>
      <w:sz w:val="24"/>
    </w:rPr>
  </w:style>
  <w:style w:type="paragraph" w:styleId="2">
    <w:name w:val="heading 2"/>
    <w:basedOn w:val="a"/>
    <w:next w:val="a"/>
    <w:link w:val="20"/>
    <w:uiPriority w:val="9"/>
    <w:qFormat/>
    <w:pPr>
      <w:keepNext/>
      <w:tabs>
        <w:tab w:val="left" w:pos="6237"/>
      </w:tabs>
      <w:spacing w:before="120" w:after="120"/>
      <w:jc w:val="center"/>
      <w:outlineLvl w:val="1"/>
    </w:pPr>
    <w:rPr>
      <w:sz w:val="18"/>
    </w:rPr>
  </w:style>
  <w:style w:type="paragraph" w:styleId="3">
    <w:name w:val="heading 3"/>
    <w:basedOn w:val="a"/>
    <w:next w:val="a"/>
    <w:link w:val="30"/>
    <w:uiPriority w:val="9"/>
    <w:qFormat/>
    <w:pPr>
      <w:keepNext/>
      <w:outlineLvl w:val="2"/>
    </w:pPr>
    <w:rPr>
      <w:sz w:val="28"/>
    </w:rPr>
  </w:style>
  <w:style w:type="paragraph" w:styleId="4">
    <w:name w:val="heading 4"/>
    <w:basedOn w:val="a"/>
    <w:next w:val="a"/>
    <w:link w:val="40"/>
    <w:uiPriority w:val="9"/>
    <w:qFormat/>
    <w:pPr>
      <w:keepNext/>
      <w:jc w:val="both"/>
      <w:outlineLvl w:val="3"/>
    </w:pPr>
    <w:rPr>
      <w:b/>
      <w:sz w:val="28"/>
    </w:rPr>
  </w:style>
  <w:style w:type="paragraph" w:styleId="5">
    <w:name w:val="heading 5"/>
    <w:basedOn w:val="a"/>
    <w:next w:val="a"/>
    <w:link w:val="50"/>
    <w:uiPriority w:val="9"/>
    <w:qFormat/>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3">
    <w:name w:val="endnote text"/>
    <w:basedOn w:val="a"/>
    <w:link w:val="a4"/>
  </w:style>
  <w:style w:type="character" w:customStyle="1" w:styleId="a4">
    <w:name w:val="Текст концевой сноски Знак"/>
    <w:basedOn w:val="1"/>
    <w:link w:val="a3"/>
  </w:style>
  <w:style w:type="character" w:customStyle="1" w:styleId="30">
    <w:name w:val="Заголовок 3 Знак"/>
    <w:basedOn w:val="1"/>
    <w:link w:val="3"/>
    <w:rPr>
      <w:sz w:val="28"/>
    </w:rPr>
  </w:style>
  <w:style w:type="paragraph" w:customStyle="1" w:styleId="WW-Absatz-Standardschriftart111">
    <w:name w:val="WW-Absatz-Standardschriftart111"/>
    <w:link w:val="WW-Absatz-Standardschriftart1110"/>
  </w:style>
  <w:style w:type="character" w:customStyle="1" w:styleId="WW-Absatz-Standardschriftart1110">
    <w:name w:val="WW-Absatz-Standardschriftart111"/>
    <w:link w:val="WW-Absatz-Standardschriftart111"/>
  </w:style>
  <w:style w:type="paragraph" w:styleId="a5">
    <w:name w:val="Document Map"/>
    <w:basedOn w:val="a"/>
    <w:link w:val="a6"/>
    <w:rPr>
      <w:rFonts w:ascii="Tahoma" w:hAnsi="Tahoma"/>
    </w:rPr>
  </w:style>
  <w:style w:type="character" w:customStyle="1" w:styleId="a6">
    <w:name w:val="Схема документа Знак"/>
    <w:basedOn w:val="1"/>
    <w:link w:val="a5"/>
    <w:rPr>
      <w:rFonts w:ascii="Tahoma" w:hAnsi="Tahoma"/>
    </w:rPr>
  </w:style>
  <w:style w:type="paragraph" w:customStyle="1" w:styleId="a7">
    <w:name w:val="Цветовое выделение"/>
    <w:link w:val="a8"/>
    <w:rPr>
      <w:b/>
      <w:color w:val="000080"/>
    </w:rPr>
  </w:style>
  <w:style w:type="character" w:customStyle="1" w:styleId="a8">
    <w:name w:val="Цветовое выделение"/>
    <w:link w:val="a7"/>
    <w:rPr>
      <w:b/>
      <w:color w:val="00008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31">
    <w:name w:val="Body Text Indent 3"/>
    <w:basedOn w:val="a"/>
    <w:link w:val="32"/>
    <w:pPr>
      <w:spacing w:line="360" w:lineRule="auto"/>
      <w:ind w:firstLine="567"/>
      <w:jc w:val="both"/>
    </w:pPr>
    <w:rPr>
      <w:color w:val="FF0000"/>
      <w:sz w:val="28"/>
    </w:rPr>
  </w:style>
  <w:style w:type="character" w:customStyle="1" w:styleId="32">
    <w:name w:val="Основной текст с отступом 3 Знак"/>
    <w:basedOn w:val="1"/>
    <w:link w:val="31"/>
    <w:rPr>
      <w:color w:val="FF0000"/>
      <w:sz w:val="28"/>
    </w:rPr>
  </w:style>
  <w:style w:type="paragraph" w:styleId="a9">
    <w:name w:val="footer"/>
    <w:basedOn w:val="a"/>
    <w:link w:val="aa"/>
    <w:pPr>
      <w:tabs>
        <w:tab w:val="center" w:pos="4153"/>
        <w:tab w:val="right" w:pos="8306"/>
      </w:tabs>
    </w:pPr>
  </w:style>
  <w:style w:type="character" w:customStyle="1" w:styleId="aa">
    <w:name w:val="Нижний колонтитул Знак"/>
    <w:basedOn w:val="1"/>
    <w:link w:val="a9"/>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12">
    <w:name w:val="Основной шрифт абзаца1"/>
  </w:style>
  <w:style w:type="paragraph" w:styleId="ab">
    <w:name w:val="Balloon Text"/>
    <w:basedOn w:val="a"/>
    <w:link w:val="ac"/>
    <w:rPr>
      <w:rFonts w:ascii="Tahoma" w:hAnsi="Tahoma"/>
      <w:sz w:val="16"/>
    </w:rPr>
  </w:style>
  <w:style w:type="character" w:customStyle="1" w:styleId="ac">
    <w:name w:val="Текст выноски Знак"/>
    <w:basedOn w:val="1"/>
    <w:link w:val="ab"/>
    <w:rPr>
      <w:rFonts w:ascii="Tahoma" w:hAnsi="Tahoma"/>
      <w:sz w:val="16"/>
    </w:rPr>
  </w:style>
  <w:style w:type="paragraph" w:styleId="23">
    <w:name w:val="Body Text Indent 2"/>
    <w:basedOn w:val="a"/>
    <w:link w:val="24"/>
    <w:pPr>
      <w:spacing w:line="360" w:lineRule="auto"/>
      <w:ind w:firstLine="540"/>
      <w:jc w:val="both"/>
    </w:pPr>
    <w:rPr>
      <w:color w:val="FF0000"/>
      <w:sz w:val="28"/>
    </w:rPr>
  </w:style>
  <w:style w:type="character" w:customStyle="1" w:styleId="24">
    <w:name w:val="Основной текст с отступом 2 Знак"/>
    <w:basedOn w:val="1"/>
    <w:link w:val="23"/>
    <w:rPr>
      <w:color w:val="FF0000"/>
      <w:sz w:val="28"/>
    </w:rPr>
  </w:style>
  <w:style w:type="paragraph" w:customStyle="1" w:styleId="13">
    <w:name w:val="Знак сноски1"/>
    <w:link w:val="ad"/>
    <w:rPr>
      <w:vertAlign w:val="superscript"/>
    </w:rPr>
  </w:style>
  <w:style w:type="character" w:styleId="ad">
    <w:name w:val="footnote reference"/>
    <w:link w:val="13"/>
    <w:rPr>
      <w:vertAlign w:val="superscript"/>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character" w:customStyle="1" w:styleId="50">
    <w:name w:val="Заголовок 5 Знак"/>
    <w:basedOn w:val="1"/>
    <w:link w:val="5"/>
    <w:rPr>
      <w:b/>
      <w:sz w:val="28"/>
    </w:rPr>
  </w:style>
  <w:style w:type="character" w:customStyle="1" w:styleId="11">
    <w:name w:val="Заголовок 1 Знак"/>
    <w:basedOn w:val="1"/>
    <w:link w:val="10"/>
    <w:rPr>
      <w:b/>
      <w:spacing w:val="20"/>
      <w:sz w:val="24"/>
    </w:rPr>
  </w:style>
  <w:style w:type="paragraph" w:styleId="ae">
    <w:name w:val="header"/>
    <w:basedOn w:val="a"/>
    <w:link w:val="af"/>
    <w:pPr>
      <w:tabs>
        <w:tab w:val="center" w:pos="4153"/>
        <w:tab w:val="right" w:pos="8306"/>
      </w:tabs>
    </w:pPr>
  </w:style>
  <w:style w:type="character" w:customStyle="1" w:styleId="af">
    <w:name w:val="Верхний колонтитул Знак"/>
    <w:basedOn w:val="1"/>
    <w:link w:val="ae"/>
  </w:style>
  <w:style w:type="paragraph" w:customStyle="1" w:styleId="14">
    <w:name w:val="Гиперссылка1"/>
    <w:link w:val="af0"/>
    <w:rPr>
      <w:color w:val="0000FF"/>
      <w:u w:val="single"/>
    </w:rPr>
  </w:style>
  <w:style w:type="character" w:styleId="af0">
    <w:name w:val="Hyperlink"/>
    <w:link w:val="14"/>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1">
    <w:name w:val="Normal Indent"/>
    <w:basedOn w:val="a"/>
    <w:link w:val="af2"/>
    <w:pPr>
      <w:spacing w:line="360" w:lineRule="auto"/>
      <w:ind w:firstLine="624"/>
      <w:jc w:val="both"/>
    </w:pPr>
    <w:rPr>
      <w:sz w:val="26"/>
    </w:rPr>
  </w:style>
  <w:style w:type="character" w:customStyle="1" w:styleId="af2">
    <w:name w:val="Обычный отступ Знак"/>
    <w:basedOn w:val="1"/>
    <w:link w:val="af1"/>
    <w:rPr>
      <w:sz w:val="26"/>
    </w:rPr>
  </w:style>
  <w:style w:type="paragraph" w:styleId="35">
    <w:name w:val="Body Text 3"/>
    <w:basedOn w:val="a"/>
    <w:link w:val="36"/>
    <w:rPr>
      <w:sz w:val="28"/>
    </w:rPr>
  </w:style>
  <w:style w:type="character" w:customStyle="1" w:styleId="36">
    <w:name w:val="Основной текст 3 Знак"/>
    <w:basedOn w:val="1"/>
    <w:link w:val="35"/>
    <w:rPr>
      <w:sz w:val="28"/>
    </w:rPr>
  </w:style>
  <w:style w:type="paragraph" w:styleId="8">
    <w:name w:val="toc 8"/>
    <w:next w:val="a"/>
    <w:link w:val="80"/>
    <w:uiPriority w:val="39"/>
    <w:pPr>
      <w:ind w:left="1400"/>
    </w:pPr>
  </w:style>
  <w:style w:type="character" w:customStyle="1" w:styleId="80">
    <w:name w:val="Оглавление 8 Знак"/>
    <w:link w:val="8"/>
  </w:style>
  <w:style w:type="paragraph" w:styleId="af3">
    <w:name w:val="Body Text"/>
    <w:basedOn w:val="a"/>
    <w:link w:val="af4"/>
    <w:pPr>
      <w:spacing w:after="120"/>
    </w:pPr>
  </w:style>
  <w:style w:type="character" w:customStyle="1" w:styleId="af4">
    <w:name w:val="Основной текст Знак"/>
    <w:basedOn w:val="1"/>
    <w:link w:val="af3"/>
  </w:style>
  <w:style w:type="paragraph" w:styleId="af5">
    <w:name w:val="Normal (Web)"/>
    <w:basedOn w:val="a"/>
    <w:link w:val="af6"/>
    <w:pPr>
      <w:spacing w:beforeAutospacing="1" w:after="119"/>
    </w:pPr>
    <w:rPr>
      <w:sz w:val="24"/>
    </w:rPr>
  </w:style>
  <w:style w:type="character" w:customStyle="1" w:styleId="af6">
    <w:name w:val="Обычный (веб) Знак"/>
    <w:basedOn w:val="1"/>
    <w:link w:val="af5"/>
    <w:rPr>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7">
    <w:name w:val="Body Text Indent"/>
    <w:basedOn w:val="a"/>
    <w:link w:val="af8"/>
    <w:pPr>
      <w:spacing w:line="360" w:lineRule="auto"/>
      <w:ind w:right="6" w:firstLine="567"/>
      <w:jc w:val="both"/>
    </w:pPr>
    <w:rPr>
      <w:sz w:val="28"/>
    </w:rPr>
  </w:style>
  <w:style w:type="character" w:customStyle="1" w:styleId="af8">
    <w:name w:val="Основной текст с отступом Знак"/>
    <w:basedOn w:val="1"/>
    <w:link w:val="af7"/>
    <w:rPr>
      <w:sz w:val="28"/>
    </w:rPr>
  </w:style>
  <w:style w:type="paragraph" w:styleId="af9">
    <w:name w:val="Subtitle"/>
    <w:next w:val="a"/>
    <w:link w:val="afa"/>
    <w:uiPriority w:val="11"/>
    <w:qFormat/>
    <w:rPr>
      <w:rFonts w:ascii="XO Thames" w:hAnsi="XO Thames"/>
      <w:i/>
      <w:color w:val="616161"/>
      <w:sz w:val="24"/>
    </w:rPr>
  </w:style>
  <w:style w:type="character" w:customStyle="1" w:styleId="afa">
    <w:name w:val="Подзаголовок Знак"/>
    <w:link w:val="af9"/>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17">
    <w:name w:val="Знак концевой сноски1"/>
    <w:link w:val="afb"/>
    <w:rPr>
      <w:vertAlign w:val="superscript"/>
    </w:rPr>
  </w:style>
  <w:style w:type="character" w:styleId="afb">
    <w:name w:val="endnote reference"/>
    <w:link w:val="17"/>
    <w:rPr>
      <w:vertAlign w:val="superscript"/>
    </w:rPr>
  </w:style>
  <w:style w:type="paragraph" w:styleId="afc">
    <w:name w:val="Title"/>
    <w:next w:val="a"/>
    <w:link w:val="afd"/>
    <w:uiPriority w:val="10"/>
    <w:qFormat/>
    <w:rPr>
      <w:rFonts w:ascii="XO Thames" w:hAnsi="XO Thames"/>
      <w:b/>
      <w:sz w:val="52"/>
    </w:rPr>
  </w:style>
  <w:style w:type="character" w:customStyle="1" w:styleId="afd">
    <w:name w:val="Название Знак"/>
    <w:link w:val="afc"/>
    <w:rPr>
      <w:rFonts w:ascii="XO Thames" w:hAnsi="XO Thames"/>
      <w:b/>
      <w:sz w:val="52"/>
    </w:rPr>
  </w:style>
  <w:style w:type="paragraph" w:customStyle="1" w:styleId="18">
    <w:name w:val="Номер страницы1"/>
    <w:basedOn w:val="12"/>
    <w:link w:val="afe"/>
  </w:style>
  <w:style w:type="character" w:styleId="afe">
    <w:name w:val="page number"/>
    <w:basedOn w:val="a0"/>
    <w:link w:val="18"/>
  </w:style>
  <w:style w:type="character" w:customStyle="1" w:styleId="40">
    <w:name w:val="Заголовок 4 Знак"/>
    <w:basedOn w:val="1"/>
    <w:link w:val="4"/>
    <w:rPr>
      <w:b/>
      <w:sz w:val="28"/>
    </w:rPr>
  </w:style>
  <w:style w:type="character" w:customStyle="1" w:styleId="20">
    <w:name w:val="Заголовок 2 Знак"/>
    <w:basedOn w:val="1"/>
    <w:link w:val="2"/>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10</Pages>
  <Words>2164</Words>
  <Characters>12339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240241</cp:lastModifiedBy>
  <cp:revision>17</cp:revision>
  <cp:lastPrinted>2020-02-21T08:25:00Z</cp:lastPrinted>
  <dcterms:created xsi:type="dcterms:W3CDTF">2020-02-21T08:12:00Z</dcterms:created>
  <dcterms:modified xsi:type="dcterms:W3CDTF">2020-02-28T05:31:00Z</dcterms:modified>
</cp:coreProperties>
</file>