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BE" w:rsidRPr="007F6C75" w:rsidRDefault="007F6C75" w:rsidP="007F6C75">
      <w:pPr>
        <w:autoSpaceDE w:val="0"/>
        <w:autoSpaceDN w:val="0"/>
        <w:adjustRightInd w:val="0"/>
        <w:spacing w:after="0" w:line="240" w:lineRule="auto"/>
        <w:rPr>
          <w:rFonts w:ascii="Times New Roman" w:hAnsi="Times New Roman" w:cs="Times New Roman"/>
          <w:b/>
          <w:sz w:val="44"/>
          <w:szCs w:val="36"/>
        </w:rPr>
      </w:pPr>
      <w:r w:rsidRPr="007F6C75">
        <w:rPr>
          <w:rFonts w:ascii="Times New Roman" w:hAnsi="Times New Roman" w:cs="Times New Roman"/>
          <w:b/>
          <w:sz w:val="44"/>
          <w:szCs w:val="36"/>
        </w:rPr>
        <w:t xml:space="preserve">Предупредительные меры по сокращению производственного травматизма и профессиональных заболеваний </w:t>
      </w:r>
    </w:p>
    <w:p w:rsidR="005E2B12" w:rsidRDefault="005E2B12" w:rsidP="00B8043E">
      <w:pPr>
        <w:autoSpaceDE w:val="0"/>
        <w:autoSpaceDN w:val="0"/>
        <w:adjustRightInd w:val="0"/>
        <w:spacing w:after="0" w:line="240" w:lineRule="auto"/>
        <w:rPr>
          <w:rFonts w:ascii="Calibri" w:hAnsi="Calibri" w:cs="Calibri"/>
        </w:rPr>
      </w:pPr>
    </w:p>
    <w:p w:rsidR="000939BE" w:rsidRDefault="000939BE" w:rsidP="003A0EA8">
      <w:pPr>
        <w:autoSpaceDE w:val="0"/>
        <w:autoSpaceDN w:val="0"/>
        <w:adjustRightInd w:val="0"/>
        <w:spacing w:after="0" w:line="240" w:lineRule="auto"/>
        <w:jc w:val="both"/>
        <w:rPr>
          <w:rFonts w:ascii="Calibri" w:hAnsi="Calibri" w:cs="Calibri"/>
        </w:rPr>
      </w:pPr>
    </w:p>
    <w:p w:rsidR="007F6C75" w:rsidRDefault="007F6C75" w:rsidP="007F6C75">
      <w:pPr>
        <w:pStyle w:val="a9"/>
        <w:ind w:firstLine="708"/>
        <w:jc w:val="both"/>
      </w:pPr>
      <w:r>
        <w:t>Порядок финансового обеспечения и перечень предупредительных мероприятий, на которые страхователь может использовать средства Фонда определен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и(или) опасными производственными факторами, утвержденными </w:t>
      </w:r>
      <w:r>
        <w:rPr>
          <w:rStyle w:val="aa"/>
          <w:rFonts w:eastAsia="SimSun"/>
        </w:rPr>
        <w:t>Приказом Минтруда России от 14.07.2021 N 467н (далее – Правила).</w:t>
      </w:r>
    </w:p>
    <w:p w:rsidR="007F6C75" w:rsidRDefault="007F6C75" w:rsidP="007F6C75">
      <w:pPr>
        <w:pStyle w:val="a9"/>
        <w:ind w:firstLine="708"/>
        <w:jc w:val="both"/>
      </w:pPr>
      <w:r>
        <w:t>За разрешением на финансовое обеспечение предупредительных мер по сокращению производственного травматизма и профессиональных заболеваний работников (далее – финансовое обеспечение предупредительных мер) может обратиться страхователь любой организационно-правовой формы, зарегистрированный в территориальном органе Фонда.</w:t>
      </w:r>
    </w:p>
    <w:p w:rsidR="007F6C75" w:rsidRDefault="007F6C75" w:rsidP="007F6C75">
      <w:pPr>
        <w:pStyle w:val="a9"/>
        <w:ind w:firstLine="708"/>
        <w:jc w:val="both"/>
      </w:pPr>
      <w:r>
        <w:rPr>
          <w:rStyle w:val="aa"/>
          <w:rFonts w:eastAsia="SimSun"/>
        </w:rPr>
        <w:t>Объем средств,</w:t>
      </w:r>
      <w:r>
        <w:t xml:space="preserve"> направляемых страхователем на финансовое обеспечение предупредительных мер, </w:t>
      </w:r>
      <w:r>
        <w:rPr>
          <w:rStyle w:val="aa"/>
          <w:rFonts w:eastAsia="SimSun"/>
        </w:rPr>
        <w:t>не может превышать 20% сумм страховых взносов на обязательное социальное страхование от несчастных случаев на производстве и профессиональных заболеваний </w:t>
      </w:r>
      <w:r>
        <w:t>(далее – страховые взносы),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РФ) на весь период его лечения и проезда к месту лечения и обратно.</w:t>
      </w:r>
    </w:p>
    <w:p w:rsidR="007F6C75" w:rsidRDefault="007F6C75" w:rsidP="007F6C75">
      <w:pPr>
        <w:pStyle w:val="a9"/>
        <w:ind w:firstLine="708"/>
        <w:jc w:val="both"/>
      </w:pPr>
      <w:r>
        <w:t>Объем средств, направляемых на указанные цели, может быть </w:t>
      </w:r>
      <w:r>
        <w:rPr>
          <w:rStyle w:val="aa"/>
          <w:rFonts w:eastAsia="SimSun"/>
        </w:rPr>
        <w:t>увеличен до 30 процентов</w:t>
      </w:r>
      <w:r>
        <w:t>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7F6C75" w:rsidRDefault="007F6C75" w:rsidP="007F6C75">
      <w:pPr>
        <w:pStyle w:val="a9"/>
        <w:ind w:firstLine="708"/>
        <w:jc w:val="both"/>
      </w:pPr>
      <w:r>
        <w:t>Страхователь самостоятельно определяет направления расходования выделенных средств в рамках утвержденного перечня реализуемых страхователем мероприятий по улучшению условий охраны труда, утвержденного локальным нормативным актом и (или) коллективного договора (соглашения по охране труда между работодателем и представителем органом работников).</w:t>
      </w:r>
    </w:p>
    <w:p w:rsidR="007F6C75" w:rsidRDefault="007F6C75" w:rsidP="007F6C75">
      <w:pPr>
        <w:pStyle w:val="a9"/>
        <w:spacing w:after="278" w:afterAutospacing="0"/>
        <w:ind w:firstLine="708"/>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страхование от несчастных случаев на производстве и профессиональных заболеваний,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5" w:anchor="/document/12125268/entry/1019" w:history="1">
        <w:r>
          <w:rPr>
            <w:rStyle w:val="a3"/>
          </w:rPr>
          <w:t>законодательством</w:t>
        </w:r>
      </w:hyperlink>
      <w:r>
        <w:t xml:space="preserve"> Российской Федерации) на весь период его лечения и проезда к месту лечения и обратно.</w:t>
      </w:r>
    </w:p>
    <w:p w:rsidR="007F6C75" w:rsidRDefault="007F6C75" w:rsidP="007F6C75">
      <w:pPr>
        <w:pStyle w:val="a9"/>
        <w:spacing w:after="278" w:afterAutospacing="0"/>
        <w:ind w:firstLine="708"/>
        <w:jc w:val="both"/>
      </w:pPr>
      <w:r>
        <w:lastRenderedPageBreak/>
        <w:t xml:space="preserve">С заявлением о финансовом обеспечении предупредительных мер страхователь обращается в Отделение Фонда пенсионного и социального страхования РФ по Магаданской областив срок </w:t>
      </w:r>
      <w:r>
        <w:rPr>
          <w:rStyle w:val="aa"/>
          <w:rFonts w:eastAsia="SimSun"/>
        </w:rPr>
        <w:t>до 1 августа текущего календарного года</w:t>
      </w:r>
      <w:r>
        <w:t>.</w:t>
      </w:r>
    </w:p>
    <w:p w:rsidR="007F6C75" w:rsidRDefault="007F6C75" w:rsidP="007F6C75">
      <w:pPr>
        <w:pStyle w:val="a9"/>
        <w:spacing w:after="278" w:afterAutospacing="0"/>
        <w:jc w:val="both"/>
      </w:pPr>
      <w:r>
        <w:t>К заявлению прилагаются </w:t>
      </w:r>
      <w:r>
        <w:rPr>
          <w:rStyle w:val="aa"/>
          <w:rFonts w:eastAsia="SimSun"/>
        </w:rPr>
        <w:t>документы</w:t>
      </w:r>
      <w:r>
        <w:t>:</w:t>
      </w:r>
    </w:p>
    <w:p w:rsidR="007F6C75" w:rsidRDefault="007F6C75" w:rsidP="007F6C75">
      <w:pPr>
        <w:pStyle w:val="a9"/>
        <w:spacing w:after="0" w:afterAutospacing="0"/>
        <w:jc w:val="both"/>
      </w:pPr>
      <w:r>
        <w:t>- план финансового обеспечения предупредительных мер в текущем календарном году,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7F6C75" w:rsidRDefault="007F6C75" w:rsidP="007F6C75">
      <w:pPr>
        <w:pStyle w:val="a9"/>
        <w:spacing w:after="0" w:afterAutospacing="0"/>
        <w:jc w:val="both"/>
      </w:pPr>
      <w:r>
        <w:t>-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7F6C75" w:rsidRDefault="007F6C75" w:rsidP="007F6C75">
      <w:pPr>
        <w:pStyle w:val="a9"/>
        <w:spacing w:after="278" w:afterAutospacing="0"/>
        <w:jc w:val="both"/>
      </w:pPr>
      <w:r>
        <w:rPr>
          <w:rStyle w:val="aa"/>
          <w:rFonts w:eastAsia="SimSun"/>
        </w:rPr>
        <w:t>Финансовому обеспечению подлежат</w:t>
      </w:r>
      <w:r>
        <w:t> расходы страхователя на следующие </w:t>
      </w:r>
      <w:r>
        <w:rPr>
          <w:rStyle w:val="aa"/>
          <w:rFonts w:eastAsia="SimSun"/>
        </w:rPr>
        <w:t>мероприятия</w:t>
      </w:r>
      <w:r>
        <w:t>:</w:t>
      </w:r>
    </w:p>
    <w:p w:rsidR="007F6C75" w:rsidRDefault="007F6C75" w:rsidP="007F6C75">
      <w:pPr>
        <w:pStyle w:val="a9"/>
        <w:spacing w:after="278" w:afterAutospacing="0"/>
        <w:ind w:firstLine="708"/>
        <w:jc w:val="both"/>
      </w:pPr>
      <w:r>
        <w:t>а) проведение специальной оценки условий труда;</w:t>
      </w:r>
    </w:p>
    <w:p w:rsidR="007F6C75" w:rsidRDefault="007F6C75" w:rsidP="007F6C75">
      <w:pPr>
        <w:pStyle w:val="a9"/>
        <w:spacing w:after="278" w:afterAutospacing="0"/>
        <w:ind w:firstLine="708"/>
        <w:jc w:val="both"/>
      </w:pPr>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7F6C75" w:rsidRDefault="007F6C75" w:rsidP="007F6C75">
      <w:pPr>
        <w:pStyle w:val="a9"/>
        <w:spacing w:after="278" w:afterAutospacing="0"/>
        <w:ind w:firstLine="708"/>
        <w:jc w:val="both"/>
      </w:pPr>
      <w:r>
        <w:t>в) обучение по охране труда и (или) обучение безопасным методом и приемом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w:t>
      </w:r>
    </w:p>
    <w:p w:rsidR="007F6C75" w:rsidRDefault="007F6C75" w:rsidP="007F6C75">
      <w:pPr>
        <w:pStyle w:val="a9"/>
        <w:spacing w:after="278" w:afterAutospacing="0"/>
        <w:jc w:val="both"/>
      </w:pPr>
      <w:r>
        <w:t>руководители организаций,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7F6C75" w:rsidRDefault="007F6C75" w:rsidP="007F6C75">
      <w:pPr>
        <w:pStyle w:val="a9"/>
        <w:spacing w:after="278" w:afterAutospacing="0"/>
        <w:jc w:val="both"/>
      </w:pPr>
      <w:r>
        <w:t>руководители структурных подразделений организации и их заместители, руководители структурных подразделений филиалов и их заместителей;</w:t>
      </w:r>
    </w:p>
    <w:p w:rsidR="007F6C75" w:rsidRDefault="007F6C75" w:rsidP="007F6C75">
      <w:pPr>
        <w:pStyle w:val="a9"/>
        <w:spacing w:after="278" w:afterAutospacing="0"/>
        <w:jc w:val="both"/>
      </w:pPr>
      <w:r>
        <w:t>работники организаций, отнесенные к категории специалисты;</w:t>
      </w:r>
    </w:p>
    <w:p w:rsidR="007F6C75" w:rsidRDefault="007F6C75" w:rsidP="007F6C75">
      <w:pPr>
        <w:pStyle w:val="a9"/>
        <w:spacing w:after="278" w:afterAutospacing="0"/>
        <w:jc w:val="both"/>
      </w:pPr>
      <w:r>
        <w:t>специалисты по охране труда;</w:t>
      </w:r>
    </w:p>
    <w:p w:rsidR="007F6C75" w:rsidRDefault="007F6C75" w:rsidP="007F6C75">
      <w:pPr>
        <w:pStyle w:val="a9"/>
        <w:spacing w:after="278" w:afterAutospacing="0"/>
        <w:jc w:val="both"/>
      </w:pPr>
      <w:r>
        <w:t>работники рабочих профессий;</w:t>
      </w:r>
    </w:p>
    <w:p w:rsidR="007F6C75" w:rsidRDefault="007F6C75" w:rsidP="007F6C75">
      <w:pPr>
        <w:pStyle w:val="a9"/>
        <w:spacing w:after="278" w:afterAutospacing="0"/>
        <w:jc w:val="both"/>
      </w:pPr>
      <w:r>
        <w:t>члены комиссии по проверке знания требованиям охраны труда, работники, проводящие инструктаж по охране труда и обучение требованиям охраны труда, работник, назначенный на микропредприятии работодателем для проведения проверки знания требований охраны труда;</w:t>
      </w:r>
    </w:p>
    <w:p w:rsidR="007F6C75" w:rsidRDefault="007F6C75" w:rsidP="007F6C75">
      <w:pPr>
        <w:pStyle w:val="a9"/>
        <w:spacing w:after="278" w:afterAutospacing="0"/>
        <w:jc w:val="both"/>
      </w:pPr>
      <w: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7F6C75" w:rsidRDefault="007F6C75" w:rsidP="007F6C75">
      <w:pPr>
        <w:pStyle w:val="a9"/>
        <w:spacing w:after="278" w:afterAutospacing="0"/>
        <w:jc w:val="both"/>
      </w:pPr>
      <w:r>
        <w:t xml:space="preserve">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w:t>
      </w:r>
      <w:r>
        <w:lastRenderedPageBreak/>
        <w:t>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 в случае аварии или инцидента на опасном производственном объекте.</w:t>
      </w:r>
    </w:p>
    <w:p w:rsidR="007F6C75" w:rsidRDefault="007F6C75" w:rsidP="007F6C75">
      <w:pPr>
        <w:pStyle w:val="a9"/>
        <w:spacing w:after="278" w:afterAutospacing="0"/>
        <w:ind w:firstLine="708"/>
        <w:jc w:val="both"/>
      </w:pPr>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и (или) на основании результатов проведения специальной оценки условий труда, а также смывающих и (или) обезвреживающих средств;</w:t>
      </w:r>
    </w:p>
    <w:p w:rsidR="007F6C75" w:rsidRDefault="007F6C75" w:rsidP="007F6C75">
      <w:pPr>
        <w:pStyle w:val="a9"/>
        <w:spacing w:after="278" w:afterAutospacing="0"/>
        <w:ind w:firstLine="708"/>
        <w:jc w:val="both"/>
      </w:pPr>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7F6C75" w:rsidRDefault="007F6C75" w:rsidP="007F6C75">
      <w:pPr>
        <w:pStyle w:val="a9"/>
        <w:spacing w:after="278" w:afterAutospacing="0"/>
        <w:ind w:firstLine="708"/>
        <w:jc w:val="both"/>
      </w:pPr>
      <w:r>
        <w:t>е) проведение обязательных периодических медицинских осмотров (обследований) работников;</w:t>
      </w:r>
    </w:p>
    <w:p w:rsidR="007F6C75" w:rsidRDefault="007F6C75" w:rsidP="007F6C75">
      <w:pPr>
        <w:pStyle w:val="a9"/>
        <w:spacing w:after="278" w:afterAutospacing="0"/>
        <w:ind w:firstLine="708"/>
        <w:jc w:val="both"/>
      </w:pPr>
      <w:r>
        <w:t>ж) обеспечение лечебно-профилактическим питанием работников, для которых указанное питание предусмотрено Перечнем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труда и социальной защиты РФ от 16.05.2022 № 298н;  </w:t>
      </w:r>
    </w:p>
    <w:p w:rsidR="007F6C75" w:rsidRDefault="007F6C75" w:rsidP="007F6C75">
      <w:pPr>
        <w:pStyle w:val="a9"/>
        <w:spacing w:after="278" w:afterAutospacing="0"/>
        <w:ind w:firstLine="708"/>
        <w:jc w:val="both"/>
      </w:pPr>
      <w:r>
        <w:t>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w:t>
      </w:r>
    </w:p>
    <w:p w:rsidR="007F6C75" w:rsidRDefault="007F6C75" w:rsidP="007F6C75">
      <w:pPr>
        <w:pStyle w:val="a9"/>
        <w:spacing w:after="278" w:afterAutospacing="0"/>
        <w:ind w:firstLine="708"/>
        <w:jc w:val="both"/>
      </w:pPr>
      <w: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7F6C75" w:rsidRDefault="007F6C75" w:rsidP="007F6C75">
      <w:pPr>
        <w:pStyle w:val="a9"/>
        <w:spacing w:after="278" w:afterAutospacing="0"/>
        <w:ind w:firstLine="708"/>
        <w:jc w:val="both"/>
      </w:pPr>
      <w:r>
        <w:t>к) приобретение страхователями аптечек для оказания первой помощи;</w:t>
      </w:r>
    </w:p>
    <w:p w:rsidR="007F6C75" w:rsidRDefault="007F6C75" w:rsidP="007F6C75">
      <w:pPr>
        <w:pStyle w:val="a9"/>
        <w:spacing w:after="278" w:afterAutospacing="0"/>
        <w:ind w:firstLine="708"/>
        <w:jc w:val="both"/>
      </w:pPr>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7F6C75" w:rsidRDefault="007F6C75" w:rsidP="007F6C75">
      <w:pPr>
        <w:pStyle w:val="a9"/>
        <w:spacing w:after="278" w:afterAutospacing="0"/>
        <w:ind w:firstLine="708"/>
        <w:jc w:val="both"/>
      </w:pPr>
      <w:r>
        <w:t>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7F6C75" w:rsidRDefault="007F6C75" w:rsidP="007F6C75">
      <w:pPr>
        <w:pStyle w:val="a9"/>
        <w:spacing w:after="278" w:afterAutospacing="0"/>
        <w:ind w:firstLine="708"/>
        <w:jc w:val="both"/>
      </w:pPr>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7F6C75" w:rsidRDefault="007F6C75" w:rsidP="007F6C75">
      <w:pPr>
        <w:pStyle w:val="a9"/>
        <w:spacing w:after="278" w:afterAutospacing="0"/>
        <w:ind w:firstLine="708"/>
        <w:jc w:val="both"/>
      </w:pPr>
      <w:r>
        <w:t xml:space="preserve">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w:t>
      </w:r>
      <w:r>
        <w:lastRenderedPageBreak/>
        <w:t>для мониторинга на рабочем месте состояния здоровья работников, занятых на работах с вредными и (или) опасными производственными факторами;</w:t>
      </w:r>
    </w:p>
    <w:p w:rsidR="007F6C75" w:rsidRDefault="007F6C75" w:rsidP="007F6C75">
      <w:pPr>
        <w:pStyle w:val="a9"/>
        <w:spacing w:after="278" w:afterAutospacing="0"/>
        <w:ind w:firstLine="708"/>
        <w:jc w:val="both"/>
      </w:pPr>
      <w:r>
        <w:t>п) приобретение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обеспечивающих безопасное ведение горных работ, в рамках модернизации основных производств;</w:t>
      </w:r>
    </w:p>
    <w:p w:rsidR="007F6C75" w:rsidRDefault="007F6C75" w:rsidP="007F6C75">
      <w:pPr>
        <w:pStyle w:val="a9"/>
        <w:spacing w:after="278" w:afterAutospacing="0"/>
        <w:ind w:firstLine="708"/>
        <w:jc w:val="both"/>
      </w:pPr>
      <w:r>
        <w:t>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Перечнем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Минтруда и социальной защиты РФ от 12.05.2022 № 291н.</w:t>
      </w:r>
    </w:p>
    <w:p w:rsidR="007F6C75" w:rsidRDefault="007F6C75" w:rsidP="007F6C75">
      <w:pPr>
        <w:pStyle w:val="a9"/>
        <w:spacing w:after="278" w:afterAutospacing="0"/>
        <w:ind w:firstLine="708"/>
        <w:jc w:val="both"/>
      </w:pPr>
      <w:r>
        <w:rPr>
          <w:rStyle w:val="aa"/>
          <w:rFonts w:eastAsia="SimSun"/>
        </w:rPr>
        <w:t>Решение об отказе</w:t>
      </w:r>
      <w:r>
        <w:t> в финансовом обеспечении предупредительных мер принимается в следующих случаях, если</w:t>
      </w:r>
    </w:p>
    <w:p w:rsidR="007F6C75" w:rsidRDefault="007F6C75" w:rsidP="007F6C75">
      <w:pPr>
        <w:pStyle w:val="a9"/>
        <w:spacing w:after="278" w:afterAutospacing="0"/>
        <w:jc w:val="both"/>
      </w:pPr>
      <w:r>
        <w:t>а)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7F6C75" w:rsidRDefault="007F6C75" w:rsidP="007F6C75">
      <w:pPr>
        <w:pStyle w:val="a9"/>
        <w:spacing w:after="278" w:afterAutospacing="0"/>
        <w:jc w:val="both"/>
      </w:pPr>
      <w:r>
        <w:t>б) представленные документы содержат недостоверную информацию;</w:t>
      </w:r>
    </w:p>
    <w:p w:rsidR="007F6C75" w:rsidRDefault="007F6C75" w:rsidP="007F6C75">
      <w:pPr>
        <w:pStyle w:val="a9"/>
        <w:spacing w:after="278" w:afterAutospacing="0"/>
        <w:jc w:val="both"/>
      </w:pPr>
      <w:r>
        <w:t>в) предусмотренные бюджетом Фонда средства на финансовое обеспечение предупредительных мер на текущий год полностью распределены;</w:t>
      </w:r>
    </w:p>
    <w:p w:rsidR="007F6C75" w:rsidRDefault="007F6C75" w:rsidP="007F6C75">
      <w:pPr>
        <w:pStyle w:val="a9"/>
        <w:spacing w:after="278" w:afterAutospacing="0"/>
        <w:jc w:val="both"/>
      </w:pPr>
      <w:r>
        <w:t>г) страхователем представлен неполный комплект документов.</w:t>
      </w:r>
    </w:p>
    <w:p w:rsidR="007F6C75" w:rsidRDefault="007F6C75" w:rsidP="007F6C75">
      <w:pPr>
        <w:pStyle w:val="a9"/>
        <w:spacing w:after="278" w:afterAutospacing="0"/>
        <w:jc w:val="both"/>
      </w:pPr>
      <w:r>
        <w:t>Государственную услугу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можно получить, подав документы:</w:t>
      </w:r>
    </w:p>
    <w:p w:rsidR="007F6C75" w:rsidRDefault="007F6C75" w:rsidP="007F6C75">
      <w:pPr>
        <w:pStyle w:val="a9"/>
        <w:spacing w:after="278" w:afterAutospacing="0"/>
        <w:jc w:val="both"/>
      </w:pPr>
      <w:r>
        <w:t>- на личном приеме;</w:t>
      </w:r>
    </w:p>
    <w:p w:rsidR="007F6C75" w:rsidRDefault="007F6C75" w:rsidP="007F6C75">
      <w:pPr>
        <w:pStyle w:val="a9"/>
        <w:spacing w:after="278" w:afterAutospacing="0"/>
        <w:jc w:val="both"/>
      </w:pPr>
      <w:r>
        <w:t>- почтовым отправлением;</w:t>
      </w:r>
    </w:p>
    <w:p w:rsidR="007F6C75" w:rsidRDefault="007F6C75" w:rsidP="007F6C75">
      <w:pPr>
        <w:pStyle w:val="a9"/>
        <w:spacing w:after="278" w:afterAutospacing="0"/>
        <w:jc w:val="both"/>
      </w:pPr>
      <w:r>
        <w:t>- через единый портал Государственных услуг (в электронной форме)</w:t>
      </w:r>
      <w:r w:rsidR="00FA19C2">
        <w:t>.</w:t>
      </w:r>
      <w:bookmarkStart w:id="0" w:name="_GoBack"/>
      <w:bookmarkEnd w:id="0"/>
    </w:p>
    <w:p w:rsidR="00757649" w:rsidRDefault="00757649" w:rsidP="00757649">
      <w:pPr>
        <w:pStyle w:val="a9"/>
        <w:spacing w:after="278" w:afterAutospacing="0"/>
        <w:ind w:firstLine="708"/>
        <w:jc w:val="both"/>
      </w:pPr>
      <w:r>
        <w:t xml:space="preserve">Страхователь </w:t>
      </w:r>
      <w:r>
        <w:rPr>
          <w:rStyle w:val="aa"/>
          <w:rFonts w:eastAsia="SimSun"/>
        </w:rPr>
        <w:t>в срок до 20 ноября</w:t>
      </w:r>
      <w:r>
        <w:t xml:space="preserve"> текущего финансового года имеет право обратиться в Отделение СФР по месту своей регистрации </w:t>
      </w:r>
      <w:r>
        <w:rPr>
          <w:rStyle w:val="aa"/>
          <w:rFonts w:eastAsia="SimSun"/>
        </w:rPr>
        <w:t>с заявлением о внесении изменений</w:t>
      </w:r>
      <w:r>
        <w:t xml:space="preserve"> в </w:t>
      </w:r>
      <w:r>
        <w:rPr>
          <w:rStyle w:val="aa"/>
          <w:rFonts w:eastAsia="SimSun"/>
        </w:rPr>
        <w:t>план</w:t>
      </w:r>
      <w:r>
        <w:t xml:space="preserve"> финансового обеспечения, согласованный Отделением СФР, в пределах суммы финансового обеспечения в соответствии с согласованным Отделением СФР планом финансового обеспечения, с обоснованием необходимости внесения изменений в план </w:t>
      </w:r>
      <w:r w:rsidRPr="00757649">
        <w:t xml:space="preserve">финансового обеспечения и </w:t>
      </w:r>
      <w:r w:rsidRPr="00757649">
        <w:rPr>
          <w:rStyle w:val="aa"/>
          <w:rFonts w:eastAsia="SimSun"/>
          <w:b w:val="0"/>
        </w:rPr>
        <w:t>предоставлением полного комплекта документов, предусмотренных пунктами 4 - 6 Правил, для обоснования предупредительных мер, по которым в план финансового обеспечения вносятся изменения</w:t>
      </w:r>
      <w:r>
        <w:t>.</w:t>
      </w:r>
    </w:p>
    <w:p w:rsidR="00757649" w:rsidRDefault="00757649" w:rsidP="00757649">
      <w:pPr>
        <w:pStyle w:val="a9"/>
        <w:spacing w:after="278" w:afterAutospacing="0"/>
        <w:ind w:firstLine="708"/>
        <w:jc w:val="both"/>
      </w:pPr>
      <w:r>
        <w:t>Страхователь ведет в установленном порядке учет средств, направленных на финансовое обеспечение предупредительных мер.</w:t>
      </w:r>
    </w:p>
    <w:p w:rsidR="00757649" w:rsidRDefault="00757649" w:rsidP="00757649">
      <w:pPr>
        <w:pStyle w:val="a9"/>
        <w:spacing w:after="278" w:afterAutospacing="0"/>
        <w:ind w:firstLine="708"/>
        <w:jc w:val="both"/>
      </w:pPr>
      <w:r>
        <w:lastRenderedPageBreak/>
        <w:t>После выполнения предупредительных мер, предусмотренных планом финансового обеспечения, страхователь обращается в Отделение СФР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 отчет о произведенных расходов на указанные цели.</w:t>
      </w:r>
    </w:p>
    <w:p w:rsidR="00757649" w:rsidRDefault="00757649" w:rsidP="00757649">
      <w:pPr>
        <w:pStyle w:val="a9"/>
        <w:ind w:firstLine="708"/>
        <w:jc w:val="both"/>
      </w:pPr>
      <w:r>
        <w:t xml:space="preserve">Отделение СФР </w:t>
      </w:r>
      <w:r>
        <w:rPr>
          <w:rStyle w:val="aa"/>
          <w:rFonts w:eastAsia="SimSun"/>
        </w:rPr>
        <w:t>в течение 5 рабочих дней со дня приема</w:t>
      </w:r>
      <w:r>
        <w:t xml:space="preserve">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СФР расходов и производит перечисление средств на расчетный счет страхователя, указанный в этом заявлении.</w:t>
      </w:r>
    </w:p>
    <w:p w:rsidR="00757649" w:rsidRDefault="00757649" w:rsidP="00757649">
      <w:pPr>
        <w:pStyle w:val="a9"/>
        <w:ind w:firstLine="708"/>
        <w:jc w:val="both"/>
      </w:pPr>
      <w:r>
        <w:t>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Отделением СФР планом финансового обеспечения и в случае неполного использования указанных средств сообщает об этом в Отделение СФР по месту своей регистрации до 10 октября текущего года.</w:t>
      </w:r>
    </w:p>
    <w:p w:rsidR="00757649" w:rsidRDefault="00757649" w:rsidP="00757649">
      <w:pPr>
        <w:pStyle w:val="a9"/>
        <w:spacing w:after="278" w:afterAutospacing="0"/>
        <w:ind w:firstLine="708"/>
        <w:jc w:val="both"/>
      </w:pPr>
      <w:r>
        <w:t>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757649" w:rsidRDefault="00757649" w:rsidP="00757649">
      <w:pPr>
        <w:pStyle w:val="a9"/>
        <w:spacing w:after="278" w:afterAutospacing="0"/>
        <w:ind w:firstLine="708"/>
        <w:jc w:val="both"/>
      </w:pPr>
      <w:r>
        <w:t>Консультация по вопросам финансового обеспечения предупредительных мер – тел. 698-088 (доб. 4).</w:t>
      </w:r>
    </w:p>
    <w:p w:rsidR="00757649" w:rsidRDefault="00757649" w:rsidP="007F6C75">
      <w:pPr>
        <w:pStyle w:val="a9"/>
        <w:spacing w:after="278" w:afterAutospacing="0"/>
        <w:jc w:val="both"/>
      </w:pPr>
    </w:p>
    <w:sectPr w:rsidR="00757649" w:rsidSect="006D2032">
      <w:pgSz w:w="11905" w:h="16838"/>
      <w:pgMar w:top="851" w:right="851" w:bottom="851" w:left="85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08"/>
  <w:characterSpacingControl w:val="doNotCompress"/>
  <w:compat/>
  <w:rsids>
    <w:rsidRoot w:val="00E7460E"/>
    <w:rsid w:val="00007B65"/>
    <w:rsid w:val="00011FCB"/>
    <w:rsid w:val="00030ADB"/>
    <w:rsid w:val="00084C25"/>
    <w:rsid w:val="000870D9"/>
    <w:rsid w:val="000939BE"/>
    <w:rsid w:val="000D547D"/>
    <w:rsid w:val="0019531E"/>
    <w:rsid w:val="001B23DF"/>
    <w:rsid w:val="002032CF"/>
    <w:rsid w:val="00243750"/>
    <w:rsid w:val="00286993"/>
    <w:rsid w:val="00297373"/>
    <w:rsid w:val="002B4418"/>
    <w:rsid w:val="002E5F90"/>
    <w:rsid w:val="002E6F35"/>
    <w:rsid w:val="00350109"/>
    <w:rsid w:val="003602D5"/>
    <w:rsid w:val="00362B5F"/>
    <w:rsid w:val="003A0EA8"/>
    <w:rsid w:val="003C30D3"/>
    <w:rsid w:val="003D18D1"/>
    <w:rsid w:val="004052E6"/>
    <w:rsid w:val="00426A3E"/>
    <w:rsid w:val="0044056F"/>
    <w:rsid w:val="00472B0B"/>
    <w:rsid w:val="00493CC3"/>
    <w:rsid w:val="004D35AB"/>
    <w:rsid w:val="0054589D"/>
    <w:rsid w:val="00595919"/>
    <w:rsid w:val="005B34D4"/>
    <w:rsid w:val="005E2B12"/>
    <w:rsid w:val="00612855"/>
    <w:rsid w:val="0067166B"/>
    <w:rsid w:val="006A69C2"/>
    <w:rsid w:val="006D2032"/>
    <w:rsid w:val="007326E9"/>
    <w:rsid w:val="0075693D"/>
    <w:rsid w:val="00757649"/>
    <w:rsid w:val="007E1516"/>
    <w:rsid w:val="007E3054"/>
    <w:rsid w:val="007F6C75"/>
    <w:rsid w:val="00832933"/>
    <w:rsid w:val="008A1417"/>
    <w:rsid w:val="008D11A2"/>
    <w:rsid w:val="008D1577"/>
    <w:rsid w:val="00902B73"/>
    <w:rsid w:val="00941DD8"/>
    <w:rsid w:val="009E2459"/>
    <w:rsid w:val="009E62EF"/>
    <w:rsid w:val="00AE0988"/>
    <w:rsid w:val="00B05321"/>
    <w:rsid w:val="00B12E8D"/>
    <w:rsid w:val="00B67C43"/>
    <w:rsid w:val="00B8043E"/>
    <w:rsid w:val="00C6709F"/>
    <w:rsid w:val="00C72134"/>
    <w:rsid w:val="00CA5447"/>
    <w:rsid w:val="00CD742F"/>
    <w:rsid w:val="00DA2208"/>
    <w:rsid w:val="00DA7D17"/>
    <w:rsid w:val="00DB22C4"/>
    <w:rsid w:val="00DE0C7A"/>
    <w:rsid w:val="00E16C53"/>
    <w:rsid w:val="00E430C6"/>
    <w:rsid w:val="00E511DA"/>
    <w:rsid w:val="00E7460E"/>
    <w:rsid w:val="00EB0D05"/>
    <w:rsid w:val="00EC3770"/>
    <w:rsid w:val="00ED3ADE"/>
    <w:rsid w:val="00EE4852"/>
    <w:rsid w:val="00F6102A"/>
    <w:rsid w:val="00F72301"/>
    <w:rsid w:val="00F872D3"/>
    <w:rsid w:val="00F915C1"/>
    <w:rsid w:val="00F94DBB"/>
    <w:rsid w:val="00FA19C2"/>
    <w:rsid w:val="00FB1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4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22C4"/>
    <w:rPr>
      <w:color w:val="000080"/>
      <w:u w:val="single"/>
    </w:rPr>
  </w:style>
  <w:style w:type="paragraph" w:customStyle="1" w:styleId="ConsPlusNormal">
    <w:name w:val="ConsPlusNormal"/>
    <w:rsid w:val="00B12E8D"/>
    <w:pPr>
      <w:widowControl w:val="0"/>
      <w:autoSpaceDE w:val="0"/>
      <w:autoSpaceDN w:val="0"/>
      <w:spacing w:after="0" w:line="240" w:lineRule="auto"/>
    </w:pPr>
    <w:rPr>
      <w:rFonts w:ascii="Calibri" w:eastAsia="Times New Roman" w:hAnsi="Calibri" w:cs="Calibri"/>
      <w:szCs w:val="20"/>
      <w:lang w:eastAsia="ru-RU"/>
    </w:rPr>
  </w:style>
  <w:style w:type="paragraph" w:styleId="a4">
    <w:name w:val="Body Text"/>
    <w:basedOn w:val="a"/>
    <w:link w:val="a5"/>
    <w:rsid w:val="003D18D1"/>
    <w:pPr>
      <w:spacing w:after="120" w:line="240" w:lineRule="auto"/>
    </w:pPr>
    <w:rPr>
      <w:rFonts w:ascii="Times New Roman" w:eastAsia="SimSun" w:hAnsi="Times New Roman" w:cs="Mangal"/>
      <w:kern w:val="1"/>
      <w:sz w:val="24"/>
      <w:szCs w:val="24"/>
      <w:lang w:eastAsia="hi-IN" w:bidi="hi-IN"/>
    </w:rPr>
  </w:style>
  <w:style w:type="character" w:customStyle="1" w:styleId="a5">
    <w:name w:val="Основной текст Знак"/>
    <w:basedOn w:val="a0"/>
    <w:link w:val="a4"/>
    <w:rsid w:val="003D18D1"/>
    <w:rPr>
      <w:rFonts w:ascii="Times New Roman" w:eastAsia="SimSun" w:hAnsi="Times New Roman" w:cs="Mangal"/>
      <w:kern w:val="1"/>
      <w:sz w:val="24"/>
      <w:szCs w:val="24"/>
      <w:lang w:eastAsia="hi-IN" w:bidi="hi-IN"/>
    </w:rPr>
  </w:style>
  <w:style w:type="paragraph" w:styleId="a6">
    <w:name w:val="Balloon Text"/>
    <w:basedOn w:val="a"/>
    <w:link w:val="a7"/>
    <w:uiPriority w:val="99"/>
    <w:semiHidden/>
    <w:unhideWhenUsed/>
    <w:rsid w:val="008A141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1417"/>
    <w:rPr>
      <w:rFonts w:ascii="Segoe UI" w:hAnsi="Segoe UI" w:cs="Segoe UI"/>
      <w:sz w:val="18"/>
      <w:szCs w:val="18"/>
    </w:rPr>
  </w:style>
  <w:style w:type="paragraph" w:customStyle="1" w:styleId="Style6">
    <w:name w:val="Style6"/>
    <w:basedOn w:val="a"/>
    <w:uiPriority w:val="99"/>
    <w:rsid w:val="00DA2208"/>
    <w:pPr>
      <w:widowControl w:val="0"/>
      <w:autoSpaceDE w:val="0"/>
      <w:autoSpaceDN w:val="0"/>
      <w:adjustRightInd w:val="0"/>
      <w:spacing w:after="0" w:line="206" w:lineRule="exact"/>
      <w:ind w:hanging="130"/>
    </w:pPr>
    <w:rPr>
      <w:rFonts w:ascii="Book Antiqua" w:eastAsia="Times New Roman" w:hAnsi="Book Antiqua" w:cs="Times New Roman"/>
      <w:sz w:val="24"/>
      <w:szCs w:val="24"/>
      <w:lang w:eastAsia="ru-RU"/>
    </w:rPr>
  </w:style>
  <w:style w:type="character" w:customStyle="1" w:styleId="FontStyle13">
    <w:name w:val="Font Style13"/>
    <w:uiPriority w:val="99"/>
    <w:rsid w:val="00DA2208"/>
    <w:rPr>
      <w:rFonts w:ascii="Book Antiqua" w:hAnsi="Book Antiqua" w:cs="Book Antiqua" w:hint="default"/>
      <w:sz w:val="16"/>
      <w:szCs w:val="16"/>
    </w:rPr>
  </w:style>
  <w:style w:type="table" w:styleId="a8">
    <w:name w:val="Table Grid"/>
    <w:basedOn w:val="a1"/>
    <w:uiPriority w:val="39"/>
    <w:rsid w:val="00C72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7F6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7F6C75"/>
    <w:rPr>
      <w:b/>
      <w:bCs/>
    </w:rPr>
  </w:style>
</w:styles>
</file>

<file path=word/webSettings.xml><?xml version="1.0" encoding="utf-8"?>
<w:webSettings xmlns:r="http://schemas.openxmlformats.org/officeDocument/2006/relationships" xmlns:w="http://schemas.openxmlformats.org/wordprocessingml/2006/main">
  <w:divs>
    <w:div w:id="213093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10.87.0.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5B0A3-7263-4522-95B8-2FA8EE87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2042</Words>
  <Characters>11643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 Светлана Владимировна</dc:creator>
  <cp:lastModifiedBy>059KrivonosLE</cp:lastModifiedBy>
  <cp:revision>2</cp:revision>
  <cp:lastPrinted>2023-03-19T23:16:00Z</cp:lastPrinted>
  <dcterms:created xsi:type="dcterms:W3CDTF">2024-04-25T05:34:00Z</dcterms:created>
  <dcterms:modified xsi:type="dcterms:W3CDTF">2024-04-25T05:34:00Z</dcterms:modified>
</cp:coreProperties>
</file>