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Информационный материал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 общественным (публичным) слушаниям </w:t>
      </w:r>
      <w:r>
        <w:rPr>
          <w:rFonts w:cs="Times New Roman" w:ascii="Times New Roman" w:hAnsi="Times New Roman"/>
          <w:b/>
          <w:bCs/>
          <w:iCs/>
          <w:color w:val="000000"/>
          <w:spacing w:val="-2"/>
          <w:sz w:val="24"/>
          <w:szCs w:val="24"/>
          <w:u w:val="none"/>
          <w:lang w:eastAsia="ru-RU"/>
        </w:rPr>
        <w:t>по вопрос</w:t>
      </w:r>
      <w:r>
        <w:rPr>
          <w:rFonts w:eastAsia="NSimSun" w:cs="Times New Roman" w:ascii="Times New Roman" w:hAnsi="Times New Roman"/>
          <w:b/>
          <w:bCs/>
          <w:iCs/>
          <w:color w:val="auto"/>
          <w:spacing w:val="-2"/>
          <w:kern w:val="2"/>
          <w:sz w:val="24"/>
          <w:szCs w:val="24"/>
          <w:u w:val="none"/>
          <w:lang w:val="ru-RU" w:eastAsia="zh-CN" w:bidi="hi-IN"/>
        </w:rPr>
        <w:t xml:space="preserve">у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NSimSun" w:cs="Times New Roman" w:ascii="Times New Roman" w:hAnsi="Times New Roman"/>
          <w:b/>
          <w:bCs/>
          <w:iCs/>
          <w:color w:val="000000"/>
          <w:spacing w:val="-2"/>
          <w:kern w:val="2"/>
          <w:sz w:val="24"/>
          <w:szCs w:val="24"/>
          <w:u w:val="none"/>
          <w:lang w:val="ru-RU" w:eastAsia="ru-RU" w:bidi="hi-IN"/>
        </w:rPr>
        <w:t xml:space="preserve">планируемого строительства объекта капитального строительства 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/>
          <w:b/>
          <w:b/>
          <w:bCs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trike w:val="false"/>
          <w:dstrike w:val="false"/>
          <w:color w:val="000000"/>
          <w:spacing w:val="-2"/>
          <w:sz w:val="24"/>
          <w:szCs w:val="24"/>
          <w:u w:val="none"/>
          <w:lang w:eastAsia="ru-RU"/>
        </w:rPr>
        <w:t>«Строительство административного здания Государственного учреждения - Управления Пенсионного фонда Российской Федерации в городском округе Саранск Республики Мордовия» по адресу: Республика Мордовия, г. Саранск, земельный участок с кадастровым номером  13:23:0901134:235.</w:t>
      </w:r>
    </w:p>
    <w:p>
      <w:pPr>
        <w:pStyle w:val="Normal"/>
        <w:spacing w:lineRule="auto" w:line="276"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Тип проекта: с</w:t>
      </w:r>
      <w:r>
        <w:rPr>
          <w:rFonts w:cs="Times New Roman" w:ascii="Times New Roman" w:hAnsi="Times New Roman"/>
          <w:sz w:val="24"/>
          <w:szCs w:val="24"/>
        </w:rPr>
        <w:t>троительство</w:t>
      </w:r>
    </w:p>
    <w:p>
      <w:pPr>
        <w:pStyle w:val="Normal"/>
        <w:spacing w:lineRule="auto" w:line="276"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Цели реализации проекта: 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Стр</w:t>
      </w:r>
      <w:r>
        <w:rPr>
          <w:rFonts w:cs="Times New Roman" w:ascii="Times New Roman" w:hAnsi="Times New Roman"/>
          <w:sz w:val="24"/>
          <w:szCs w:val="24"/>
        </w:rPr>
        <w:t>оительство административного здания для развития социальной инфраструктуры и оказания государственных услуг гражданам в соответствии с требованиями, предусмотренными  законодательством Российской Федерации.</w:t>
      </w:r>
    </w:p>
    <w:p>
      <w:pPr>
        <w:pStyle w:val="Normal"/>
        <w:spacing w:lineRule="auto" w:line="276"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Характеристика проекта по численности граждан и страхователей, на обслуживание которой рассчитан объект: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Планируемый к строительству объект рассчитан на обслуживание населения городского округа Саранск. На данный период население городского округа Саранск составляе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т 349,8 тыс. чел.,  в том числе 102,1 тыс. пенсионеров, 16,8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тыс.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страхователей, 3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69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,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2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тыс. застрахованных лиц и 72,9 тыс. получателей социальных выплат. 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В планируемом к строительству объекте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гражданам и страхователям будут предоставляться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 30 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осударственных услуг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36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0"/>
        <w:gridCol w:w="8819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зарегистрированных  лиц о состоянии их индивидуальных лицевых счетов в системе обязательного пенсионного страхования согласно федеральным законам </w:t>
            </w:r>
            <w:hyperlink r:id="rId2">
              <w:r>
                <w:rPr>
                  <w:rFonts w:cs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«Об индивидуальном (персонифицированном) учете в системе обязательного пенсионного страхования»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и «Об инвестировании средств для финансирования накопительной пенсии в Российской Федерации».</w:t>
            </w:r>
          </w:p>
        </w:tc>
      </w:tr>
      <w:tr>
        <w:trPr>
          <w:trHeight w:val="1078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</w:t>
            </w:r>
          </w:p>
        </w:tc>
      </w:tr>
      <w:tr>
        <w:trPr>
          <w:trHeight w:val="1389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</w:t>
            </w:r>
            <w:hyperlink r:id="rId3">
              <w:r>
                <w:rPr>
                  <w:rFonts w:cs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Федеральным законом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от 30 апреля 2008 г. № 56-ФЗ «О дополнительных страховых взносах на накопительную пенсию и государственной поддержке формирования пенсионных накоплений».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 гражданам, выезжающим (выехавшим) на постоянное жительство за пределы территории Российской Федерации.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Установление федеральной социальной доплаты к пенсии.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Установление и выплата дополнительного ежемесячного материального обеспечения за выдающиеся достижения и особые заслуги перед Российской Федерацией.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компенсации расходов на оплату стоимости проезда по территории Российской Федерации к месту отдыха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12.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13.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14.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15.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Осуществление ежемесячных выплат лицам, осуществляющим уход за детьми-инвалидами или инвалидами с детства I группы.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16.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Осуществление компенсационных выплат неработающим трудоспособным лицам, осуществляющим уход за нетрудоспособными гражданами.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17.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Выдача государственного сертификата на материнский (семейный) капитал.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18.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19.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Информирование граждан о размере материнского (семейного) капитала (его оставшейся части).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Прием от страхователей реестров застрахованных лиц о перечислении дополнительных страховых взносов на накопительную пенсию в соответствии с </w:t>
            </w:r>
            <w:hyperlink r:id="rId4">
              <w:r>
                <w:rPr>
                  <w:rFonts w:cs="Times New Roman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Федеральным законом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«О дополнительных страховых взносах на накопительную пенсию и государственной поддержке формирования пенсионных накоплений».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21.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22.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Прием заявления застрахованного лица о распределении средств пенсионных накоплений.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23.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24.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Информирование граждан, признанных в установленном порядке инвалидами, о сведениях, содержащихся о них в федеральной государственной информационной системе «Федеральный реестр инвалидов».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25.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Информирование граждан о сведениях, содержащихся о них в федеральной государственной информационной системе «Единая государственная информационная система социального обеспечения».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26.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Информирование граждан об отнесении к категории граждан  предпенсионного возраста.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27.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Прием от зарегистрированных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28.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сведений о трудовой деятельности зарегистрированного лица, содержащихся в его индивидуальном лицевом счете.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29.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30.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Выплата правопреемникам  умерших застрахованных лиц средств пенсионных накоплений ,  учтенных в специальной части индивидуальных лицевых счетов.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Соответствие проекта требованиям и стандартам программы «Доступная среда», энергосбережения и пожарной безопасности, и иным требованиям, установленным законодательством Российской Федерации: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работы, предусмотренные проектом, будут производиться с обязательным соблюдением требований Федерального закона от 30 декабря 2009 г. № 384-ФЗ «Технический регламент о безопасности зданий и сооружений», Федерального закона от 22 июля 2008 г. № 123-ФЗ «Технический регламент о требованиях пожарной безопасности».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повышения энергетической эффективности объекта проект будет выполнен в соответствии  с Федеральным законом от 23 ноября 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лизация проекта будет осуществлена в соответствии с требованиями программы «Доступная среда» и свода правил СП 59.13330.2016 «Доступность зданий и сооружений для</w:t>
      </w:r>
      <w:r>
        <w:rPr>
          <w:rFonts w:cs="Times New Roman" w:ascii="Times New Roman" w:hAnsi="Times New Roman"/>
          <w:sz w:val="24"/>
          <w:szCs w:val="24"/>
        </w:rPr>
        <w:t xml:space="preserve"> маломобильных групп населения». Актуализированная редакция СНиП 35-01-2001 (утв. приказом Министерства строительства и жилищно-коммунального хозяйства РФ от 14 ноября 2016 г. № 798/пр).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Проектом будут предусмотрены требования к организации и качеству строительно-монтажных работ в соответствии с нормами, установленными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</w:p>
    <w:p>
      <w:pPr>
        <w:pStyle w:val="ConsPlusNormal"/>
        <w:spacing w:lineRule="auto" w:line="276" w:before="0" w:after="0"/>
        <w:ind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ConsPlusNormal"/>
        <w:spacing w:lineRule="auto" w:line="276" w:before="0" w:after="0"/>
        <w:ind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Потребность включения в проект ПФР помещений для архивов или серверного оборудования.</w:t>
      </w:r>
    </w:p>
    <w:p>
      <w:pPr>
        <w:pStyle w:val="ConsPlusNormal"/>
        <w:widowControl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предусматривает наличие помещений для размещения архива и серверного оборудования.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Технико-экономические показатели объекта: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Этажность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z w:val="24"/>
          <w:szCs w:val="24"/>
        </w:rPr>
        <w:t>ания - трёхэтажное, с техподпольем;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– коридорный;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Площадь здания - 1800 кв.м;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Строительный объем – 9683,00 куб.м;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Высота здания – 14,83 м;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Стены - кирпичные; 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Перекрытия - сборный железобетон;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Лестницы внутренние - сборные железобетонные марши со сборными железобетонными площадками;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Крыша - скатная, покрытие металлочерепица;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Входные группы и пандус - из монолитного бетона с облицовкой бетонной тротуарной плиткой, керамогранитом;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Фундамент здания - ленточный сборный из блоков типа ФБС;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Наружные стены подвального этажа -  сборные железобетонные блоки;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Наружная отделка фасада - стальные композитные панели типа «Краспан», цоколя – керамогранит;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Численность работников - 96 человек, в т.ч. м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ладший</w:t>
      </w:r>
      <w:r>
        <w:rPr>
          <w:rFonts w:ascii="Times New Roman" w:hAnsi="Times New Roman"/>
          <w:color w:val="000000"/>
          <w:sz w:val="24"/>
          <w:szCs w:val="24"/>
        </w:rPr>
        <w:t xml:space="preserve"> обслуживающий персонал – 6 человек.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Административное здание планируется разместить на земельном участке с кадастровым номером 13:23:0901134:235 площадью 3 900 кв.м.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Срок строительства 2022-2023.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8"/>
        </w:rPr>
        <w:t>Показатели данного раздела могут быть изменены в процессе корректировки проектной документации.</w:t>
      </w:r>
    </w:p>
    <w:p>
      <w:pPr>
        <w:pStyle w:val="Normal"/>
        <w:tabs>
          <w:tab w:val="clear" w:pos="720"/>
          <w:tab w:val="left" w:pos="3912" w:leader="none"/>
        </w:tabs>
        <w:bidi w:val="0"/>
        <w:spacing w:lineRule="auto" w:line="276" w:before="0" w:after="0"/>
        <w:ind w:left="0" w:firstLine="567"/>
        <w:jc w:val="both"/>
        <w:rPr>
          <w:rFonts w:ascii="Times New Roman" w:hAnsi="Times New Roman" w:cs="Times New Roman"/>
          <w:b/>
          <w:b/>
          <w:color w:val="000000"/>
          <w:szCs w:val="28"/>
        </w:rPr>
      </w:pPr>
      <w:r>
        <w:rPr>
          <w:rFonts w:cs="Times New Roman" w:ascii="Times New Roman" w:hAnsi="Times New Roman"/>
          <w:b/>
          <w:color w:val="000000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Ориентировочные (максимальные) расходы ПФР на реализацию проекта, расходы на единицу площади в расчете на квадратный метр: 71,293 тыс. руб.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стоимость работ по капитальному строительству  128 329,0 тыс. руб.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eastAsia="Times New Roman" w:cs="Times New Roman"/>
          <w:b/>
          <w:b/>
          <w:lang w:eastAsia="zh-C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Гипертекстовая ссылка"/>
    <w:basedOn w:val="DefaultParagraphFont"/>
    <w:qFormat/>
    <w:rPr>
      <w:color w:val="106BB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0006192.16" TargetMode="External"/><Relationship Id="rId3" Type="http://schemas.openxmlformats.org/officeDocument/2006/relationships/hyperlink" Target="garantf1://12060189.4" TargetMode="External"/><Relationship Id="rId4" Type="http://schemas.openxmlformats.org/officeDocument/2006/relationships/hyperlink" Target="garantf1://12060189.9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LibreOffice/7.0.4.2$Windows_x86 LibreOffice_project/dcf040e67528d9187c66b2379df5ea4407429775</Application>
  <AppVersion>15.0000</AppVersion>
  <Pages>4</Pages>
  <Words>1106</Words>
  <Characters>8305</Characters>
  <CharactersWithSpaces>9347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2021-06-29T05:27:00Z</dcterms:created>
  <dc:creator>Семин Александр Александрович</dc:creator>
  <dc:description/>
  <dc:language>ru-RU</dc:language>
  <cp:lastModifiedBy/>
  <cp:lastPrinted>2021-06-30T12:31:44Z</cp:lastPrinted>
  <dcterms:modified xsi:type="dcterms:W3CDTF">2021-06-30T12:39:02Z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