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МИНИСТЕРСТВО ТРУДА И СОЦИАЛЬНОЙ ЗАЩИТЫ РОССИЙСКОЙ ФЕДЕРАЦИИ</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МЕТОДИЧЕСКИЕ РЕКОМЕНДАЦИИ</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ПО ВОПРОСАМ ПРЕДСТАВЛЕНИЯ СВЕДЕНИЙ О ДОХОДАХ, РАСХОДАХ,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ОБ ИМУЩЕСТВЕ И ОБЯЗАТЕЛЬСТВАХ ИМУЩЕСТВЕННОГО ХАРАКТЕРА</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ЗАПОЛНЕНИЯ СООТВЕТСТВУЮЩЕЙ ФОРМЫ СПРАВКИ В 2024 ГОДУ</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(ЗА ОТЧЕТНЫЙ 2023 ГОД)</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w:t>
      </w:r>
      <w:r>
        <w:rPr>
          <w:rFonts w:ascii="Arial CYR" w:hAnsi="Arial CYR" w:cs="Arial CYR"/>
          <w:sz w:val="20"/>
          <w:szCs w:val="20"/>
        </w:rPr>
        <w:lastRenderedPageBreak/>
        <w:t>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I. Представление сведений о доходах, расходах, об имуществе</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обязательствах имущественного характера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Лица, обязанные представлять сведения о доходах, расходах, об имуществе и обязательствах имущественного характера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r:id="rId4" w:history="1">
        <w:r>
          <w:rPr>
            <w:rFonts w:ascii="Arial CYR" w:hAnsi="Arial CYR" w:cs="Arial CYR"/>
            <w:color w:val="0000FF"/>
            <w:sz w:val="20"/>
            <w:szCs w:val="20"/>
          </w:rPr>
          <w:t>подпункте 2</w:t>
        </w:r>
      </w:hyperlink>
      <w:r>
        <w:rPr>
          <w:rFonts w:ascii="Arial CYR" w:hAnsi="Arial CYR" w:cs="Arial CYR"/>
          <w:sz w:val="20"/>
          <w:szCs w:val="20"/>
        </w:rPr>
        <w:t xml:space="preserve"> настоящего пункта);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если в течение отчетного периода такие сделки не совершались: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5" w:history="1">
        <w:r>
          <w:rPr>
            <w:rFonts w:ascii="Arial CYR" w:hAnsi="Arial CYR" w:cs="Arial CYR"/>
            <w:color w:val="0000FF"/>
            <w:sz w:val="20"/>
            <w:szCs w:val="20"/>
            <w:u w:val="single"/>
          </w:rPr>
          <w:t>https://mintrud.gov.ru/ministry/programms/anticorruption/9/instruktivno-metodicheskie-materialy-po-fz</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иными лицами в соответствии с законодательством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государственной должности Российской Федерации, государственной должности субъекта Российской Федерации, муниципальной должности;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любой должности государственной службы Российской Федерации (поступающим на службу);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должности муниципальной службы, включенной в перечни, утвержденные нормативными правовыми актами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rPr>
          <w:rFonts w:ascii="Arial CYR" w:hAnsi="Arial CYR" w:cs="Arial CYR"/>
          <w:sz w:val="20"/>
          <w:szCs w:val="20"/>
        </w:rPr>
        <w:lastRenderedPageBreak/>
        <w:t>общества) и атамана Всероссийского казачьего общества;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иных должностей в соответствии с законодательством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(пункт 4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Обязательность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w:t>
      </w:r>
      <w:r>
        <w:rPr>
          <w:rFonts w:ascii="Arial CYR" w:hAnsi="Arial CYR" w:cs="Arial CYR"/>
          <w:sz w:val="20"/>
          <w:szCs w:val="20"/>
        </w:rPr>
        <w:lastRenderedPageBreak/>
        <w:t>этим перечнем.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6" w:history="1">
        <w:r>
          <w:rPr>
            <w:rFonts w:ascii="Arial CYR" w:hAnsi="Arial CYR" w:cs="Arial CYR"/>
            <w:color w:val="0000FF"/>
            <w:sz w:val="20"/>
            <w:szCs w:val="20"/>
            <w:u w:val="single"/>
          </w:rPr>
          <w:t>https://mintrud.gov.ru/ministry/programms/anticorruption/9/23</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7" w:history="1">
        <w:r>
          <w:rPr>
            <w:rFonts w:ascii="Arial CYR" w:hAnsi="Arial CYR" w:cs="Arial CYR"/>
            <w:color w:val="0000FF"/>
            <w:sz w:val="20"/>
            <w:szCs w:val="20"/>
            <w:u w:val="single"/>
          </w:rPr>
          <w:t>https://mintrud.gov.ru/ministry/programms/anticorruption/9/23</w:t>
        </w:r>
      </w:hyperlink>
      <w:r>
        <w:rPr>
          <w:rFonts w:ascii="Arial CYR" w:hAnsi="Arial CYR" w:cs="Arial CYR"/>
          <w:sz w:val="20"/>
          <w:szCs w:val="20"/>
        </w:rPr>
        <w:t xml:space="preserve">). Лица, призванные на военную службу по мобилизации или заключившие в соответствии с пунктом 7 статьи 38 </w:t>
      </w:r>
      <w:r>
        <w:rPr>
          <w:rFonts w:ascii="Arial CYR" w:hAnsi="Arial CYR" w:cs="Arial CYR"/>
          <w:sz w:val="20"/>
          <w:szCs w:val="20"/>
        </w:rPr>
        <w:lastRenderedPageBreak/>
        <w:t>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8" w:history="1">
        <w:r>
          <w:rPr>
            <w:rFonts w:ascii="Arial CYR" w:hAnsi="Arial CYR" w:cs="Arial CYR"/>
            <w:color w:val="0000FF"/>
            <w:sz w:val="20"/>
            <w:szCs w:val="20"/>
          </w:rPr>
          <w:t>пункте 13</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Сроки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Служащие (работники) представляют Сведения ежегодно в следующие сроки: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Сведения могут быть представлены служащим (работником) в любое время, начиная с 1 января года, следующего за отчетным.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16. Если последний день срока представления Сведений приходится на нерабочий день, то </w:t>
      </w:r>
      <w:r>
        <w:rPr>
          <w:rFonts w:ascii="Arial CYR" w:hAnsi="Arial CYR" w:cs="Arial CYR"/>
          <w:sz w:val="20"/>
          <w:szCs w:val="20"/>
        </w:rPr>
        <w:lastRenderedPageBreak/>
        <w:t xml:space="preserve">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9" w:history="1">
        <w:r>
          <w:rPr>
            <w:rFonts w:ascii="Arial CYR" w:hAnsi="Arial CYR" w:cs="Arial CYR"/>
            <w:color w:val="0000FF"/>
            <w:sz w:val="20"/>
            <w:szCs w:val="20"/>
          </w:rPr>
          <w:t>пункте 11</w:t>
        </w:r>
      </w:hyperlink>
      <w:r>
        <w:rPr>
          <w:rFonts w:ascii="Arial CYR" w:hAnsi="Arial CYR" w:cs="Arial CYR"/>
          <w:sz w:val="20"/>
          <w:szCs w:val="20"/>
        </w:rPr>
        <w:t xml:space="preserve"> настоящих Методический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Нерабочий день не является основанием для переноса срока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Лица, в отношении которых представляются Сведения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 Сведения представляются отдельно: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в отношении служащего (работника),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в отношении его супруги (супруга),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в отношении каждого несовершеннолетнего ребенка служащего (работника).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 Отчетный период и отчетная дата представления Сведений, установленные для граждан и служащих (работников), различны: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гражданин представляет: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служащий (работник) представляет ежегодно: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w:t>
      </w:r>
      <w:r>
        <w:rPr>
          <w:rFonts w:ascii="Arial CYR" w:hAnsi="Arial CYR" w:cs="Arial CYR"/>
          <w:sz w:val="20"/>
          <w:szCs w:val="20"/>
        </w:rPr>
        <w:lastRenderedPageBreak/>
        <w:t>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 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r:id="rId10" w:history="1">
        <w:r>
          <w:rPr>
            <w:rFonts w:ascii="Arial CYR" w:hAnsi="Arial CYR" w:cs="Arial CYR"/>
            <w:color w:val="0000FF"/>
            <w:sz w:val="20"/>
            <w:szCs w:val="20"/>
          </w:rPr>
          <w:t>подпункта 1 пункта 19</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Замещение конкретной должности на отчетную дату как основание для представления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23. Представление Сведений после увольнения служащего (работника) в период с 1 января по 1 (30) апреля 2024 г. не требуется.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внешнем совместительстве (работником заключен трудовой договор о выполнении в </w:t>
      </w:r>
      <w:r>
        <w:rPr>
          <w:rFonts w:ascii="Arial CYR" w:hAnsi="Arial CYR" w:cs="Arial CYR"/>
          <w:sz w:val="20"/>
          <w:szCs w:val="20"/>
        </w:rP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Определение круга лиц (членов семьи), в отношении которых необходимо представить Сведения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25. Сведения представляются с учетом семейного положения, в котором находился гражданин, служащий (работник) по состоянию на отчетную дату.</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Супруги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26.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27.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Перечень ситуаций и рекомендуемые действия (таблица N 1):</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3119"/>
        <w:gridCol w:w="5926"/>
      </w:tblGrid>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Пример: служащий (работник) представляет Сведения в 2024 году (за отчетный 2023 год)</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Брак заключен в органах записи актов гражданского состояния (далее - ЗАГС) в ноябре 2023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заключен в ЗАГСе в марте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заключен 1 февраля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супруги представляются, поскольку по состоянию на отчетную дату (1 августа 2024 года) гражданин состоял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заключен 2 августа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28.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Перечень ситуаций и рекомендуемые действия (таблица N 2):</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3119"/>
        <w:gridCol w:w="5926"/>
      </w:tblGrid>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Пример: служащий (работник) представляет Сведения в 2024 году (за отчетный 2023 год)</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был расторгнут в ЗАГСе в ноябре 2023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Окончательное решение о расторжении брака было принято судом 12 декабря 2023 года и вступило в законную силу 12 января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был расторгнут в ЗАГСе в марте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был расторгнут в ЗАГСе 1 июля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Брак был расторгнут в ЗАГСе 2 августа 2024 года</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Окончательное решение о расторжении брака было принято судом 4 июля 2024 года и вступило в законную силу 4 августа 2024 г.</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29. Лица, обязанные представлять Сведения в отношении своих супруг (супругов), не представляют такие Сведения, если: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их супруги призваны на военную службу по мобилизации в Вооруженные Силы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этом случае такими лицами могут быть представлены документы, подтверждающие обозначенный статус их супруг (супругов).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1" w:history="1">
        <w:r>
          <w:rPr>
            <w:rFonts w:ascii="Arial CYR" w:hAnsi="Arial CYR" w:cs="Arial CYR"/>
            <w:color w:val="0000FF"/>
            <w:sz w:val="20"/>
            <w:szCs w:val="20"/>
            <w:u w:val="single"/>
          </w:rPr>
          <w:t>https://mintrud.gov.ru/ministry/programms/anticorruption/9/23</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Несовершеннолетние дети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30.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Перечень ситуаций и рекомендуемые действия (таблица N 3):</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3119"/>
        <w:gridCol w:w="5926"/>
      </w:tblGrid>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Пример: служащий (работник) представляет Сведения в 2024 году (за отчетный 2023 год)</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Дочери служащего (работника) 21 мая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Дочери служащего (работника) 30 декабря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Дочери служащего (работника) 31 декабря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432C66">
        <w:tblPrEx>
          <w:tblCellMar>
            <w:top w:w="0" w:type="dxa"/>
            <w:bottom w:w="0" w:type="dxa"/>
          </w:tblCellMar>
        </w:tblPrEx>
        <w:tc>
          <w:tcPr>
            <w:tcW w:w="9045" w:type="dxa"/>
            <w:gridSpan w:val="2"/>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Сыну гражданина 5 мая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Сыну гражданина 1 августа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Сыну гражданина 17 августа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Уточнение представленных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w:t>
      </w:r>
      <w:r>
        <w:rPr>
          <w:rFonts w:ascii="Arial CYR" w:hAnsi="Arial CYR" w:cs="Arial CYR"/>
          <w:sz w:val="20"/>
          <w:szCs w:val="20"/>
        </w:rPr>
        <w:lastRenderedPageBreak/>
        <w:t>именно включительно в срок до 1 (31) мая года, следующего за отчетным.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37.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открытого в 2022 году, но не отраженного в справке, представленной в рамках декларационной кампании 2023 года).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Рекомендуемые действия при невозможности по объективным причинам представить Сведения в отношении члена семьи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2" w:history="1">
        <w:r>
          <w:rPr>
            <w:rFonts w:ascii="Arial CYR" w:hAnsi="Arial CYR" w:cs="Arial CYR"/>
            <w:color w:val="0000FF"/>
            <w:sz w:val="20"/>
            <w:szCs w:val="20"/>
            <w:u w:val="single"/>
          </w:rPr>
          <w:t>https://mintrud.gov.ru/ministry/programms/anticorruption/9/24</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41. Заявление подается в порядке, установленном нормативным правовым актом органа публичной власти или актом организации.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42. Заявление должно быть направлено до истечения срока, установленного для представления служащим (работником) Сведений.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Заявление подается (таблица N 4):</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3119"/>
        <w:gridCol w:w="5926"/>
      </w:tblGrid>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Управление Президента Российской Федерации по вопросам государственной службы, кадров и противодействия коррупции</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Департамент кадров Правительства Российской Федерации</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подразделение по профилактике коррупционных и иных правонарушений Центрального банка Российской Федерации</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lang w:val="en-US"/>
              </w:rPr>
            </w:pPr>
            <w:r>
              <w:rPr>
                <w:rFonts w:ascii="Arial CYR" w:hAnsi="Arial CYR" w:cs="Arial CYR"/>
                <w:sz w:val="20"/>
                <w:szCs w:val="20"/>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p w:rsidR="00432C66" w:rsidRPr="00432C66" w:rsidRDefault="00432C66">
            <w:pPr>
              <w:widowControl w:val="0"/>
              <w:autoSpaceDE w:val="0"/>
              <w:autoSpaceDN w:val="0"/>
              <w:adjustRightInd w:val="0"/>
              <w:spacing w:after="0" w:line="240" w:lineRule="auto"/>
              <w:jc w:val="both"/>
              <w:rPr>
                <w:rFonts w:ascii="Arial CYR" w:hAnsi="Arial CYR" w:cs="Arial CYR"/>
                <w:sz w:val="20"/>
                <w:szCs w:val="20"/>
                <w:lang w:val="en-US"/>
              </w:rPr>
            </w:pP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Рекомендуемые действия при невозможности представить Сведения вследствие не зависящих от служащего (работника) обстоятельств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Конкретные не зависящие от служащего (работника) обстоятельства приведены в части 4 статьи 13 Федерального закона от 25 декабря 2008 г. N 273-ФЗ "О противодействии коррупции".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48. Исполнение обязанности представить Сведения должно быть обеспечено служащим </w:t>
      </w:r>
      <w:r>
        <w:rPr>
          <w:rFonts w:ascii="Arial CYR" w:hAnsi="Arial CYR" w:cs="Arial CYR"/>
          <w:sz w:val="20"/>
          <w:szCs w:val="20"/>
        </w:rPr>
        <w:lastRenderedPageBreak/>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II. Заполнение справки о доходах, расходах, об имуществе</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обязательствах имущественного характера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49. Форма справки является унифицированной для всех лиц, на которых распространяется обязанность представлять Сведения.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50.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51.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печати справки формируются зоны со служебной информацией (штриховые коды и т.п.), нанесение каких-либо пометок на которые не допускается.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52. СПО "Справки БК" размещено на официальном сайте Президента Российской Федерации (</w:t>
      </w:r>
      <w:hyperlink r:id="rId13" w:history="1">
        <w:r>
          <w:rPr>
            <w:rFonts w:ascii="Arial CYR" w:hAnsi="Arial CYR" w:cs="Arial CYR"/>
            <w:color w:val="0000FF"/>
            <w:sz w:val="20"/>
            <w:szCs w:val="20"/>
            <w:u w:val="single"/>
          </w:rPr>
          <w:t>http://www.kremlin.ru/structure/additional/12</w:t>
        </w:r>
      </w:hyperlink>
      <w:r>
        <w:rPr>
          <w:rFonts w:ascii="Arial CYR" w:hAnsi="Arial CYR" w:cs="Arial CYR"/>
          <w:sz w:val="20"/>
          <w:szCs w:val="20"/>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Pr>
            <w:rFonts w:ascii="Arial CYR" w:hAnsi="Arial CYR" w:cs="Arial CYR"/>
            <w:color w:val="0000FF"/>
            <w:sz w:val="20"/>
            <w:szCs w:val="20"/>
            <w:u w:val="single"/>
          </w:rPr>
          <w:t>https://gossluzhba.gov.ru/anticorruption/spravki_bk</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53.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подписать и представить справки в течение одного дня (одной датой).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 для печати справок используется лазерный принтер, обеспечивающий качественную печать;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не допускаются дефекты печати в виде полос, пятен (при дефектах барабана или картриджа принтера);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не допускаются рукописные 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Справки не следует прошивать и фиксировать скрепкой.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Печатать справки рекомендуется только на одной стороне листа.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15" w:history="1">
        <w:r>
          <w:rPr>
            <w:rFonts w:ascii="Arial CYR" w:hAnsi="Arial CYR" w:cs="Arial CYR"/>
            <w:color w:val="0000FF"/>
            <w:sz w:val="20"/>
            <w:szCs w:val="20"/>
            <w:u w:val="single"/>
          </w:rPr>
          <w:t>https://www.cbr.ru/currency_base/daily/</w:t>
        </w:r>
      </w:hyperlink>
      <w:r>
        <w:rPr>
          <w:rFonts w:ascii="Arial CYR" w:hAnsi="Arial CYR" w:cs="Arial CYR"/>
          <w:sz w:val="20"/>
          <w:szCs w:val="20"/>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ТИТУЛЬНЫЙ ЛИСТ</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55. При заполнении титульного листа справки рекомендуется обратить внимание на следующее: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дата рождения (год рождения) указывается в соответствии с записью в документе, удостоверяющем личность;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w:t>
      </w:r>
      <w:r>
        <w:rPr>
          <w:rFonts w:ascii="Arial CYR" w:hAnsi="Arial CYR" w:cs="Arial CYR"/>
          <w:sz w:val="20"/>
          <w:szCs w:val="20"/>
        </w:rPr>
        <w:lastRenderedPageBreak/>
        <w:t>то в графе "род занятий" рекомендуется указывать "временно неработающий" или "домохозяйка" ("домохозяин").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1. СВЕДЕНИЯ О ДОХОДАХ</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56. 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lastRenderedPageBreak/>
        <w:t>Доход по основному месту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58.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Особенности заполнения данной графы отдельными категориями лиц</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61.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w:t>
      </w:r>
      <w:r>
        <w:rPr>
          <w:rFonts w:ascii="Arial CYR" w:hAnsi="Arial CYR" w:cs="Arial CYR"/>
          <w:sz w:val="20"/>
          <w:szCs w:val="20"/>
        </w:rPr>
        <w:lastRenderedPageBreak/>
        <w:t>применения данного режима служащими содержатся в письме Минтруда России от 19 апреля 2021 г. N 28-6/10/В-4623 (</w:t>
      </w:r>
      <w:hyperlink r:id="rId16" w:history="1">
        <w:r>
          <w:rPr>
            <w:rFonts w:ascii="Arial CYR" w:hAnsi="Arial CYR" w:cs="Arial CYR"/>
            <w:color w:val="0000FF"/>
            <w:sz w:val="20"/>
            <w:szCs w:val="20"/>
            <w:u w:val="single"/>
          </w:rPr>
          <w:t>https://mintrud.gov.ru/docs/1872</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Доход от педагогической и научной деятельности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64. 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"Доход по основному месту работы", а не в строке "Доход от педагогической и научной деятельности".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Доход от иной творческой деятельности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66.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67. Подлежат указанию в строках "Доход от педагогической и научной деятельности" и "Доход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Доход от вкладов в банках и иных кредитных организациях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68.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69. Сведения о наличии соответствующих банковских счетов и вкладов указываются в разделе 4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70. Доход, полученный в иностранной валюте, указывается в рублях по курсу Банка России на дату получения дохода (с учетом положений </w:t>
      </w:r>
      <w:hyperlink r:id="rId17"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r:id="rId18"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 (за исключением случая, указанного в </w:t>
      </w:r>
      <w:hyperlink r:id="rId19" w:history="1">
        <w:r>
          <w:rPr>
            <w:rFonts w:ascii="Arial CYR" w:hAnsi="Arial CYR" w:cs="Arial CYR"/>
            <w:color w:val="0000FF"/>
            <w:sz w:val="20"/>
            <w:szCs w:val="20"/>
          </w:rPr>
          <w:t>пункте 75</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74. Особое внимание следует уделить хранению документов, связанных с вкладами (счетами) в </w:t>
      </w:r>
      <w:r>
        <w:rPr>
          <w:rFonts w:ascii="Arial CYR" w:hAnsi="Arial CYR" w:cs="Arial CYR"/>
          <w:sz w:val="20"/>
          <w:szCs w:val="20"/>
        </w:rPr>
        <w:lastRenderedPageBreak/>
        <w:t>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Указания Банка России N 5798-У, такие сведения не отражаются в справке.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Доход от ценных бумаг и долей участия в коммерческих организациях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76.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дисконт, полученный в качестве дохода по облигациям;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Иные доходы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77. В данной строке указываются доходы, которые не были отражены в вышеуказанных строках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 например, в строке "Иные доходы" могут быть указаны: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государственная и негосударственная пенсии (при этом разные виды пенсий (по возрасту и пенсия военнослужащего) не следует суммировать);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w:t>
      </w:r>
      <w:r>
        <w:rPr>
          <w:rFonts w:ascii="Arial CYR" w:hAnsi="Arial CYR" w:cs="Arial CYR"/>
          <w:sz w:val="20"/>
          <w:szCs w:val="20"/>
        </w:rPr>
        <w:lastRenderedPageBreak/>
        <w:t>субъекта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о доходах и суммах налога физического лица, выдаваемую по месту службы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r:id="rId20" w:history="1">
        <w:r>
          <w:rPr>
            <w:rFonts w:ascii="Arial CYR" w:hAnsi="Arial CYR" w:cs="Arial CYR"/>
            <w:color w:val="0000FF"/>
            <w:sz w:val="20"/>
            <w:szCs w:val="20"/>
          </w:rPr>
          <w:t>пунктом 40</w:t>
        </w:r>
      </w:hyperlink>
      <w:r>
        <w:rPr>
          <w:rFonts w:ascii="Arial CYR" w:hAnsi="Arial CYR" w:cs="Arial CYR"/>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"Иные доходы" и в разделе 4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стипендия;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21" w:history="1">
        <w:r>
          <w:rPr>
            <w:rFonts w:ascii="Arial CYR" w:hAnsi="Arial CYR" w:cs="Arial CYR"/>
            <w:color w:val="0000FF"/>
            <w:sz w:val="20"/>
            <w:szCs w:val="20"/>
          </w:rPr>
          <w:t>пунктом 40</w:t>
        </w:r>
      </w:hyperlink>
      <w:r>
        <w:rPr>
          <w:rFonts w:ascii="Arial CYR" w:hAnsi="Arial CYR" w:cs="Arial CYR"/>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w:t>
      </w:r>
      <w:r>
        <w:rPr>
          <w:rFonts w:ascii="Arial CYR" w:hAnsi="Arial CYR" w:cs="Arial CYR"/>
          <w:sz w:val="20"/>
          <w:szCs w:val="20"/>
        </w:rPr>
        <w:lastRenderedPageBreak/>
        <w:t>указывается в полном объеме без вычета "комиссионных" и иных подобных выплат.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Аналогично в отношении продажи имущества, находящегося в совместной собственности;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 проценты по долговым обязательствам;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 возмещение вреда, причиненного увечьем или иным повреждением здоровья;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 выплаты, связанные с гибелью (смертью), выплаченные наследникам;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r:id="rId22" w:history="1">
        <w:r>
          <w:rPr>
            <w:rFonts w:ascii="Arial CYR" w:hAnsi="Arial CYR" w:cs="Arial CYR"/>
            <w:color w:val="0000FF"/>
            <w:sz w:val="20"/>
            <w:szCs w:val="20"/>
          </w:rPr>
          <w:t>подпункте 3 пункта 212</w:t>
        </w:r>
      </w:hyperlink>
      <w:r>
        <w:rPr>
          <w:rFonts w:ascii="Arial CYR" w:hAnsi="Arial CYR" w:cs="Arial CYR"/>
          <w:sz w:val="20"/>
          <w:szCs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w:t>
      </w:r>
      <w:r>
        <w:rPr>
          <w:rFonts w:ascii="Arial CYR" w:hAnsi="Arial CYR" w:cs="Arial CYR"/>
          <w:sz w:val="20"/>
          <w:szCs w:val="20"/>
        </w:rPr>
        <w:lastRenderedPageBreak/>
        <w:t>уплаченными страховыми премиями (взносами) (в отношении каждого договора отдельно));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"Доход по основному месту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27) выплаты членам профсоюзных организаций, полученные от данных профсоюзных организаций;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результаты иной творческой деятельности - в строке "Доход от иной творческой деятельности";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29) вознаграждение, полученное при осуществлении опеки или попечительства на возмездной основе;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r:id="rId23" w:history="1">
        <w:r>
          <w:rPr>
            <w:rFonts w:ascii="Arial CYR" w:hAnsi="Arial CYR" w:cs="Arial CYR"/>
            <w:color w:val="0000FF"/>
            <w:sz w:val="20"/>
            <w:szCs w:val="20"/>
          </w:rPr>
          <w:t>пунктом 60</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32) денежные средства, полученные в качестве оплаты услуг или товаров, в том числе в качестве авансового платежа;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r:id="rId24" w:history="1">
        <w:r>
          <w:rPr>
            <w:rFonts w:ascii="Arial CYR" w:hAnsi="Arial CYR" w:cs="Arial CYR"/>
            <w:color w:val="0000FF"/>
            <w:sz w:val="20"/>
            <w:szCs w:val="20"/>
          </w:rPr>
          <w:t>пунктом 40</w:t>
        </w:r>
      </w:hyperlink>
      <w:r>
        <w:rPr>
          <w:rFonts w:ascii="Arial CYR" w:hAnsi="Arial CYR" w:cs="Arial CYR"/>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35) доход, полученный по договорам переуступки прав требования на строящиеся объекты недвижимости;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37) выплаченная ликвидационная стоимость ценных бумаг при ликвидации коммерческой организации;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40) иные аналогичные выплаты.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78.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79. Доход, полученный в иностранной валюте, указывается в рублях по курсу Банка России на дату получения дохода (с учетом положений </w:t>
      </w:r>
      <w:hyperlink r:id="rId25"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r:id="rId26"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80.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81. С учетом целей антикоррупционного законодательства в строке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со служебными командировками за счет средств работодателя;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4) с оплатой стоимости и (или) выдачи полагающегося натурального довольствия, а также </w:t>
      </w:r>
      <w:r>
        <w:rPr>
          <w:rFonts w:ascii="Arial CYR" w:hAnsi="Arial CYR" w:cs="Arial CYR"/>
          <w:sz w:val="20"/>
          <w:szCs w:val="20"/>
        </w:rPr>
        <w:lastRenderedPageBreak/>
        <w:t>выплатой денежных средств взамен этого довольствия (например, взамен форменной одежды);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с приобретением проездных документов для исполнения служебных (должностных) обязанностей;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с оплатой коммунальных и иных услуг, наймом жилого помещения;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с внесением родительской платы за посещение дошкольного образовательного учреждения;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83. Также не указываются сведения о денежных средствах, полученных: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в виде социального, имущественного, инвестиционного налогового вычета;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от продажи различного вида подарочных сертификатов (карт), выпущенных предприятиями торговли, салонами красоты и пр.;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в качестве возврата налога на добавленную стоимость, уплаченного при совершении покупок за границей, по чекам Tax-free;</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в качестве вознаграждения донорам за сданную кровь, ее компонентов (и иную помощь);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в качестве возмещения расходов на повышение профессионального уровня за счет средств представителя нанимателя (работодателя);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27" w:history="1">
        <w:r>
          <w:rPr>
            <w:rFonts w:ascii="Arial CYR" w:hAnsi="Arial CYR" w:cs="Arial CYR"/>
            <w:color w:val="0000FF"/>
            <w:sz w:val="20"/>
            <w:szCs w:val="20"/>
          </w:rPr>
          <w:t>пунктом 40</w:t>
        </w:r>
      </w:hyperlink>
      <w:r>
        <w:rPr>
          <w:rFonts w:ascii="Arial CYR" w:hAnsi="Arial CYR" w:cs="Arial CYR"/>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11) в связи с возвратом денежных средств по несостоявшемуся договору купли-продажи;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84.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2. СВЕДЕНИЯ О РАСХОДАХ</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87. Данный раздел справки также подлежит заполнению при наличии обстоятельств, перечисленных в </w:t>
      </w:r>
      <w:hyperlink r:id="rId28" w:history="1">
        <w:r>
          <w:rPr>
            <w:rFonts w:ascii="Arial CYR" w:hAnsi="Arial CYR" w:cs="Arial CYR"/>
            <w:color w:val="0000FF"/>
            <w:sz w:val="20"/>
            <w:szCs w:val="20"/>
          </w:rPr>
          <w:t>пункте 86</w:t>
        </w:r>
      </w:hyperlink>
      <w:r>
        <w:rPr>
          <w:rFonts w:ascii="Arial CYR" w:hAnsi="Arial CYR" w:cs="Arial CYR"/>
          <w:sz w:val="20"/>
          <w:szCs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88. Граждане, поступающие на службу (работу), раздел 2 справки не заполняют.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89. Заполнение данного раздела при отсутствии указанных в </w:t>
      </w:r>
      <w:hyperlink r:id="rId29" w:history="1">
        <w:r>
          <w:rPr>
            <w:rFonts w:ascii="Arial CYR" w:hAnsi="Arial CYR" w:cs="Arial CYR"/>
            <w:color w:val="0000FF"/>
            <w:sz w:val="20"/>
            <w:szCs w:val="20"/>
          </w:rPr>
          <w:t>пункте 86</w:t>
        </w:r>
      </w:hyperlink>
      <w:r>
        <w:rPr>
          <w:rFonts w:ascii="Arial CYR" w:hAnsi="Arial CYR" w:cs="Arial CYR"/>
          <w:sz w:val="20"/>
          <w:szCs w:val="20"/>
        </w:rPr>
        <w:t xml:space="preserve"> настоящих Методических рекомендаций оснований не является нарушением.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w:t>
      </w:r>
      <w:r>
        <w:rPr>
          <w:rFonts w:ascii="Arial CYR" w:hAnsi="Arial CYR" w:cs="Arial CYR"/>
          <w:sz w:val="20"/>
          <w:szCs w:val="20"/>
        </w:rPr>
        <w:lastRenderedPageBreak/>
        <w:t>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91. Для цели реализации </w:t>
      </w:r>
      <w:hyperlink r:id="rId30" w:history="1">
        <w:r>
          <w:rPr>
            <w:rFonts w:ascii="Arial CYR" w:hAnsi="Arial CYR" w:cs="Arial CYR"/>
            <w:color w:val="0000FF"/>
            <w:sz w:val="20"/>
            <w:szCs w:val="20"/>
          </w:rPr>
          <w:t>пункта 86</w:t>
        </w:r>
      </w:hyperlink>
      <w:r>
        <w:rPr>
          <w:rFonts w:ascii="Arial CYR" w:hAnsi="Arial CYR" w:cs="Arial CYR"/>
          <w:sz w:val="20"/>
          <w:szCs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94. Данный раздел не заполняется в следующих случаях: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96. В графе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97.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100.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101. Особенности заполнения раздела "Сведения о расходах":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r>
        <w:rPr>
          <w:rFonts w:ascii="Arial CYR" w:hAnsi="Arial CYR" w:cs="Arial CYR"/>
          <w:sz w:val="20"/>
          <w:szCs w:val="20"/>
        </w:rPr>
        <w:lastRenderedPageBreak/>
        <w:t>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3. СВЕДЕНИЯ ОБ ИМУЩЕСТВЕ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3.1 Недвижимое имущество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102.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r:id="rId31" w:history="1">
        <w:r>
          <w:rPr>
            <w:rFonts w:ascii="Arial CYR" w:hAnsi="Arial CYR" w:cs="Arial CYR"/>
            <w:color w:val="0000FF"/>
            <w:sz w:val="20"/>
            <w:szCs w:val="20"/>
          </w:rPr>
          <w:t>пунктом 121</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w:t>
      </w:r>
      <w:r>
        <w:rPr>
          <w:rFonts w:ascii="Arial CYR" w:hAnsi="Arial CYR" w:cs="Arial CYR"/>
          <w:sz w:val="20"/>
          <w:szCs w:val="20"/>
        </w:rPr>
        <w:lastRenderedPageBreak/>
        <w:t>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r:id="rId32" w:history="1">
        <w:r>
          <w:rPr>
            <w:rFonts w:ascii="Arial CYR" w:hAnsi="Arial CYR" w:cs="Arial CYR"/>
            <w:color w:val="0000FF"/>
            <w:sz w:val="20"/>
            <w:szCs w:val="20"/>
          </w:rPr>
          <w:t>пунктом 121</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105.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Заполнение графы "Вид и наименование имущества"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109.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112. В строке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113. В графе "Вид собственности" указывается вид собственности на имущество (индивидуальная, общая совместная, общая долевая).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116. Местонахождение (адрес) недвижимого имущества указывается согласно правоустанавливающим документам. При этом указывается: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субъект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район;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город, иной населенный пункт (село, поселок и т.д.);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улица (проспект, переулок и т.д.);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номер дома (владения, участка), корпуса (строения), квартиры.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рекомендуется указывать индекс.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117. Если недвижимое имущество находится за рубежом, то указывается: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наименование государства;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населенный пункт (иная единица административно-территориального деления);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почтовый адрес.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w:t>
      </w:r>
      <w:r>
        <w:rPr>
          <w:rFonts w:ascii="Arial CYR" w:hAnsi="Arial CYR" w:cs="Arial CYR"/>
          <w:sz w:val="20"/>
          <w:szCs w:val="20"/>
        </w:rPr>
        <w:lastRenderedPageBreak/>
        <w:t>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Основание приобретения и источники средств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120.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33" w:history="1">
        <w:r>
          <w:rPr>
            <w:rFonts w:ascii="Arial CYR" w:hAnsi="Arial CYR" w:cs="Arial CYR"/>
            <w:color w:val="0000FF"/>
            <w:sz w:val="20"/>
            <w:szCs w:val="20"/>
            <w:u w:val="single"/>
          </w:rPr>
          <w:t>https://lk.rosreestr.ru/eservices/real-estate-objects-online</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77:02:0014017:1994-72/004/2023-2 от 27 марта 2023 г.; договор купли-продажи от 19 февраля 2023 г. или иное.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на лиц, замещающих (занимающих):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государственные должности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первого заместителя и заместителей Генерального прокурора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членов Совета директоров Центрального банка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государственные должности субъектов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заместителей руководителей федеральных органов исполнительной власти;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на супруг (супругов), несовершеннолетних детей лиц, указанных в </w:t>
      </w:r>
      <w:hyperlink r:id="rId34" w:history="1">
        <w:r>
          <w:rPr>
            <w:rFonts w:ascii="Arial CYR" w:hAnsi="Arial CYR" w:cs="Arial CYR"/>
            <w:color w:val="0000FF"/>
            <w:sz w:val="20"/>
            <w:szCs w:val="20"/>
          </w:rPr>
          <w:t>абзацах втором</w:t>
        </w:r>
      </w:hyperlink>
      <w:r>
        <w:rPr>
          <w:rFonts w:ascii="Arial CYR" w:hAnsi="Arial CYR" w:cs="Arial CYR"/>
          <w:sz w:val="20"/>
          <w:szCs w:val="20"/>
        </w:rPr>
        <w:t xml:space="preserve"> - </w:t>
      </w:r>
      <w:hyperlink r:id="rId35" w:history="1">
        <w:r>
          <w:rPr>
            <w:rFonts w:ascii="Arial CYR" w:hAnsi="Arial CYR" w:cs="Arial CYR"/>
            <w:color w:val="0000FF"/>
            <w:sz w:val="20"/>
            <w:szCs w:val="20"/>
          </w:rPr>
          <w:t>десятом подпункта 1</w:t>
        </w:r>
      </w:hyperlink>
      <w:r>
        <w:rPr>
          <w:rFonts w:ascii="Arial CYR" w:hAnsi="Arial CYR" w:cs="Arial CYR"/>
          <w:sz w:val="20"/>
          <w:szCs w:val="20"/>
        </w:rPr>
        <w:t xml:space="preserve"> настоящего пункта;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иных лиц в случаях, предусмотренных федеральными законами.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Сведения о вышеуказанном источнике отображаются в справке ежегодно, вне зависимости от года приобретения имущества.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3.2. Транспортные средства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допускается указание кода подразделения ГИБДД в соответствии со свидетельством о регистрации транспортного средства.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отсутствия регистрации допускается указать "Отсутствует".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130. Аналогичным подходом необходимо руководствоваться при указании в данном подразделе водного, воздушного транспорта.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131. В строке "Иные транспортные средства" подлежат указанию, в частности, прицепы, зарегистрированные в установленном порядке.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3.3. Цифровые финансовые активы, цифровые права, включающие одновременно цифровые финансовые активы и иные цифровые права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132.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w:t>
      </w:r>
      <w:r>
        <w:rPr>
          <w:rFonts w:ascii="Arial CYR" w:hAnsi="Arial CYR" w:cs="Arial CYR"/>
          <w:sz w:val="20"/>
          <w:szCs w:val="20"/>
        </w:rPr>
        <w:lastRenderedPageBreak/>
        <w:t>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133.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36" w:history="1">
        <w:r>
          <w:rPr>
            <w:rFonts w:ascii="Arial CYR" w:hAnsi="Arial CYR" w:cs="Arial CYR"/>
            <w:color w:val="0000FF"/>
            <w:sz w:val="20"/>
            <w:szCs w:val="20"/>
            <w:u w:val="single"/>
          </w:rPr>
          <w:t>https://cbr.ru/vfs/registers/infr/list_OIS.xlsx</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3.4. Утилитарные цифровые права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139.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право требовать передачи вещи (вещей) (например, право требования золота в слитках при инвестировании в добычу золота);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право требовать передачи исключительных прав на результаты интеллектуальной </w:t>
      </w:r>
      <w:r>
        <w:rPr>
          <w:rFonts w:ascii="Arial CYR" w:hAnsi="Arial CYR" w:cs="Arial CYR"/>
          <w:sz w:val="20"/>
          <w:szCs w:val="20"/>
        </w:rPr>
        <w:lastRenderedPageBreak/>
        <w:t>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140.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141. В графе "Уникальное условное обозначение" указывается уникальное условное обозначение, идентифицирующее утилитарное цифровое право.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142. В графе "Дата приобретения" указывается дата приобретения утилитарного цифрового права.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r:id="rId37"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Реестр операторов инвестиционных платформ размещен на официальном сайте Банка России по ссылке: </w:t>
      </w:r>
      <w:hyperlink r:id="rId38" w:history="1">
        <w:r>
          <w:rPr>
            <w:rFonts w:ascii="Arial CYR" w:hAnsi="Arial CYR" w:cs="Arial CYR"/>
            <w:color w:val="0000FF"/>
            <w:sz w:val="20"/>
            <w:szCs w:val="20"/>
            <w:u w:val="single"/>
          </w:rPr>
          <w:t>https://cbr.ru/vfs/registers/infr/list_invest_platform_op.xlsx</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3.5. Цифровая валюта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145.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147. Примерами цифровой валюты являются: Биткоин (BTC), Эфириум (ETH), Тезер (USDT) и </w:t>
      </w:r>
      <w:r>
        <w:rPr>
          <w:rFonts w:ascii="Arial CYR" w:hAnsi="Arial CYR" w:cs="Arial CYR"/>
          <w:sz w:val="20"/>
          <w:szCs w:val="20"/>
        </w:rPr>
        <w:lastRenderedPageBreak/>
        <w:t>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149. В графе "Дата приобретения" указывается дата приобретения цифровой валюты.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"Дата приобретения" цифровой валюты может совпадать с датой транзакции, то есть с датой передачи цифровой валюты от одного лица другому.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150. В графе "Общее количество" указывается точное количество цифровой валюты, находящейся в собственности (без округления).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4. СВЕДЕНИЯ О СЧЕТАХ В БАНКАХ И ИНЫХ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КРЕДИТНЫХ ОРГАНИЗАЦИЯХ</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Информация о счетах, закрытых по состоянию на отчетную дату, не подлежит отражению в справке.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счета с нулевым остатком по состоянию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счета (вклады) в иностранных банках, расположенных за пределами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счета, открытые для погашения кредита;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вклады (счета) в драгоценных металлах (в том числе указывается вид счета и металл, в котором он открыт);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счета, открытые гражданам, зарегистрированным в качестве индивидуальных предпринимателей;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номинальный счет;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счет эскроу;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9) счет цифрового рубля.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9" w:history="1">
        <w:r>
          <w:rPr>
            <w:rFonts w:ascii="Arial CYR" w:hAnsi="Arial CYR" w:cs="Arial CYR"/>
            <w:color w:val="0000FF"/>
            <w:sz w:val="20"/>
            <w:szCs w:val="20"/>
            <w:u w:val="single"/>
          </w:rPr>
          <w:t>https://www.cbr.ru/hd_base/metall/metall_base_new/</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153. С учетом целей антикоррупционного законодательства Российской Федерации в данном разделе не указываются следующие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счета, закрытые по состоянию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публичные депозитные счета нотариуса;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счета доверительного управления;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открываемые не на основании гражданско-правового договора счета, счета депо, счета брокера, индивидуальные инвестиционные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w:t>
      </w:r>
      <w:hyperlink r:id="rId40" w:history="1">
        <w:r>
          <w:rPr>
            <w:rFonts w:ascii="Arial CYR" w:hAnsi="Arial CYR" w:cs="Arial CYR"/>
            <w:color w:val="0000FF"/>
            <w:sz w:val="20"/>
            <w:szCs w:val="20"/>
          </w:rPr>
          <w:t>подпунктом 4 пункта 212</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синтетические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Для счета цифрового рубля информацию целесообразно получать непосредственно у Банка России, который открывает такой счет.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156.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157. В соответствии с указанной Инструкцией и с учетом </w:t>
      </w:r>
      <w:hyperlink r:id="rId41" w:history="1">
        <w:r>
          <w:rPr>
            <w:rFonts w:ascii="Arial CYR" w:hAnsi="Arial CYR" w:cs="Arial CYR"/>
            <w:color w:val="0000FF"/>
            <w:sz w:val="20"/>
            <w:szCs w:val="20"/>
          </w:rPr>
          <w:t>пунктов 152</w:t>
        </w:r>
      </w:hyperlink>
      <w:r>
        <w:rPr>
          <w:rFonts w:ascii="Arial CYR" w:hAnsi="Arial CYR" w:cs="Arial CYR"/>
          <w:sz w:val="20"/>
          <w:szCs w:val="20"/>
        </w:rPr>
        <w:t xml:space="preserve"> и </w:t>
      </w:r>
      <w:hyperlink r:id="rId42" w:history="1">
        <w:r>
          <w:rPr>
            <w:rFonts w:ascii="Arial CYR" w:hAnsi="Arial CYR" w:cs="Arial CYR"/>
            <w:color w:val="0000FF"/>
            <w:sz w:val="20"/>
            <w:szCs w:val="20"/>
          </w:rPr>
          <w:t>153</w:t>
        </w:r>
      </w:hyperlink>
      <w:r>
        <w:rPr>
          <w:rFonts w:ascii="Arial CYR" w:hAnsi="Arial CYR" w:cs="Arial CYR"/>
          <w:sz w:val="20"/>
          <w:szCs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158. В графе "Дата открытия счета" не допускается указание даты выпуска (перевыпуска) платежной карты.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159. Графа "Остаток на счете (руб.)" заполняется по состоянию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счетов в иностранной валюте остаток указывается в рублях по курсу Банка России на отчетную дату (с учетом положений </w:t>
      </w:r>
      <w:hyperlink r:id="rId43"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 счету в драгоценных металлах данная графа не заполняется.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w:t>
      </w:r>
      <w:r>
        <w:rPr>
          <w:rFonts w:ascii="Arial CYR" w:hAnsi="Arial CYR" w:cs="Arial CYR"/>
          <w:sz w:val="20"/>
          <w:szCs w:val="20"/>
        </w:rPr>
        <w:lastRenderedPageBreak/>
        <w:t>противном случае необходимо заполнить соответствующие графы в отношении всех счетов, указываемых в справке в отношении отдельного лица.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Лица, претендующие на замещение отдельных должностей, в случае наличия оснований также заполняют данную графу.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лиц, указанных в </w:t>
      </w:r>
      <w:hyperlink r:id="rId44" w:history="1">
        <w:r>
          <w:rPr>
            <w:rFonts w:ascii="Arial CYR" w:hAnsi="Arial CYR" w:cs="Arial CYR"/>
            <w:color w:val="0000FF"/>
            <w:sz w:val="20"/>
            <w:szCs w:val="20"/>
          </w:rPr>
          <w:t>пункте 2</w:t>
        </w:r>
      </w:hyperlink>
      <w:r>
        <w:rPr>
          <w:rFonts w:ascii="Arial CYR" w:hAnsi="Arial CYR" w:cs="Arial CYR"/>
          <w:sz w:val="20"/>
          <w:szCs w:val="20"/>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счетов в иностранной валюте сумма указывается в рублях по курсу Банка России на отчетную дату (с учетом положений </w:t>
      </w:r>
      <w:hyperlink r:id="rId45"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161. Отдельные аспекты заполнения графы "Сумма поступивших на счет денежных средств (руб.)":</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сумма денежных средств, поступивших на закрытые по состоянию на отчетную дату счета, не учитывается;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Перечень возможных на практике ситуаций (таблица N 5):</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9039"/>
      </w:tblGrid>
      <w:tr w:rsidR="00432C66">
        <w:tblPrEx>
          <w:tblCellMar>
            <w:top w:w="0" w:type="dxa"/>
            <w:bottom w:w="0" w:type="dxa"/>
          </w:tblCellMar>
        </w:tblPrEx>
        <w:tc>
          <w:tcPr>
            <w:tcW w:w="903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течение отчетного периода на счета служащего (работника) поступило 300 тыс. руб., а на счета его супруги - 500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данном примере: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1) графа "Сумма поступивших на счет денежных средств (руб.)" раздела 4 справки в </w:t>
            </w:r>
            <w:r>
              <w:rPr>
                <w:rFonts w:ascii="Arial CYR" w:hAnsi="Arial CYR" w:cs="Arial CYR"/>
                <w:sz w:val="20"/>
                <w:szCs w:val="20"/>
              </w:rPr>
              <w:lastRenderedPageBreak/>
              <w:t>отношении служащего (работника) не заполняется;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2) графа "Сумма поступивших на счет денежных средств (руб.)" раздела 4 справки в отношении его супруги также не заполняется.</w:t>
            </w:r>
          </w:p>
        </w:tc>
      </w:tr>
      <w:tr w:rsidR="00432C66">
        <w:tblPrEx>
          <w:tblCellMar>
            <w:top w:w="0" w:type="dxa"/>
            <w:bottom w:w="0" w:type="dxa"/>
          </w:tblCellMar>
        </w:tblPrEx>
        <w:tc>
          <w:tcPr>
            <w:tcW w:w="903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По состоянию на отчетную дату и в течение отчетного периода у служащего (работника) открыто три счета.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данном примере: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1) перераспределение (оборот) денежных средств по счетам составил 900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2) сумма денежных средств, поступивших на счета, - 500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432C66">
        <w:tblPrEx>
          <w:tblCellMar>
            <w:top w:w="0" w:type="dxa"/>
            <w:bottom w:w="0" w:type="dxa"/>
          </w:tblCellMar>
        </w:tblPrEx>
        <w:tc>
          <w:tcPr>
            <w:tcW w:w="903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 состоянию на отчетную дату и в течение отчетного периода у служащего (работника) открыто два счета.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течение отчетного периода на счет "А" поступило 400 тыс. руб.; на счет "Б" - 300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Сначала со счета "А" на счет "Б" переведены 200 тыс. руб., потом со счета "Б" на счет "А" - 500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данном примере: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1) перераспределение (оборот) денежных средств по счетам составил 1400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2) сумма денежных средств, поступивших на счета, - 700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432C66">
        <w:tblPrEx>
          <w:tblCellMar>
            <w:top w:w="0" w:type="dxa"/>
            <w:bottom w:w="0" w:type="dxa"/>
          </w:tblCellMar>
        </w:tblPrEx>
        <w:tc>
          <w:tcPr>
            <w:tcW w:w="903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 состоянию на отчетную дату и в течение отчетного периода у служащего (работника) открыто два счета.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данном примере: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1) перераспределение (оборот) денежных средств по счетам составил 1000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2) сумма денежных средств, поступивших на счета, - 1000 тыс. руб.</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162. Заполнение графы "Сумма поступивших на счет денежных средств (руб.)" при отсутствии оснований не является нарушением.</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Совместный счет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данном случае в каждой подаваемой справке представляется идентичная информация о таком счете.</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Кредитные карты, карты с овердрафтом, электронные средства платежа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164. Банк (иная кредитная организация) выпускает следующие виды карт (таблица N 6):</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tblPr>
      <w:tblGrid>
        <w:gridCol w:w="3119"/>
        <w:gridCol w:w="5926"/>
      </w:tblGrid>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Расчетная (дебетовая)</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Как электронное средство платежа используется для совершения операций ее держателем в пределах расходного </w:t>
            </w:r>
            <w:r>
              <w:rPr>
                <w:rFonts w:ascii="Arial CYR" w:hAnsi="Arial CYR" w:cs="Arial CYR"/>
                <w:sz w:val="20"/>
                <w:szCs w:val="20"/>
              </w:rPr>
              <w:lastRenderedPageBreak/>
              <w:t>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32C66">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Кредитная</w:t>
            </w:r>
          </w:p>
        </w:tc>
        <w:tc>
          <w:tcPr>
            <w:tcW w:w="5926" w:type="dxa"/>
            <w:tcBorders>
              <w:top w:val="single" w:sz="4" w:space="0" w:color="auto"/>
              <w:left w:val="single" w:sz="4" w:space="0" w:color="auto"/>
              <w:bottom w:val="single" w:sz="4" w:space="0" w:color="auto"/>
              <w:right w:val="single" w:sz="4" w:space="0" w:color="auto"/>
            </w:tcBorders>
          </w:tcPr>
          <w:p w:rsidR="00432C66" w:rsidRDefault="00432C66">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165. Расчетная (дебетовая) и, как правило, кредитные карты предполагают открытие и ведение банком (иной кредитной организацией)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46" w:history="1">
        <w:r>
          <w:rPr>
            <w:rFonts w:ascii="Arial CYR" w:hAnsi="Arial CYR" w:cs="Arial CYR"/>
            <w:color w:val="0000FF"/>
            <w:sz w:val="20"/>
            <w:szCs w:val="20"/>
            <w:u w:val="single"/>
          </w:rPr>
          <w:t>https://www.nalog.ru/rn77/related_activities/accounting/bank_account/</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171. В данном разделе не указываются: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Под электронным средством платежа в соответствии с пунктом 19 статьи 3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Отзыв лицензии у кредитной организации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172.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174. До момента закрытия соответствующего счета, счет считается открытым и подлежит отражению в разделе 4 справки.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Ликвидация кредитной организации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47" w:history="1">
        <w:r>
          <w:rPr>
            <w:rFonts w:ascii="Arial CYR" w:hAnsi="Arial CYR" w:cs="Arial CYR"/>
            <w:color w:val="0000FF"/>
            <w:sz w:val="20"/>
            <w:szCs w:val="20"/>
            <w:u w:val="single"/>
          </w:rPr>
          <w:t>https://www.cbr.ru/banking_sector/likvidbase/</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5. СВЕДЕНИЯ О ЦЕННЫХ БУМАГАХ</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"Доход от ценных бумаг и долей участия в коммерческих организациях").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Государственный сертификат на материнский (семейный) капитал не является ценной бумагой и не подлежит указанию в разделе 5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w:t>
      </w:r>
      <w:r>
        <w:rPr>
          <w:rFonts w:ascii="Arial CYR" w:hAnsi="Arial CYR" w:cs="Arial CYR"/>
          <w:sz w:val="20"/>
          <w:szCs w:val="20"/>
        </w:rPr>
        <w:lastRenderedPageBreak/>
        <w:t>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5.1. Акции и иное участие в коммерческих организациях и фондах</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r:id="rId48"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Если законодательством не предусмотрено формирование уставного капитала, то указывается "0 руб.".</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Уставный капитал зарубежных организаций необходимо устанавливать в соответствии с </w:t>
      </w:r>
      <w:r>
        <w:rPr>
          <w:rFonts w:ascii="Arial CYR" w:hAnsi="Arial CYR" w:cs="Arial CYR"/>
          <w:sz w:val="20"/>
          <w:szCs w:val="20"/>
        </w:rPr>
        <w:lastRenderedPageBreak/>
        <w:t>применимым правом (допускается использование данных из официальных источников в информационно-телекоммуникационной сети "Интернет").</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r:id="rId49"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5.2. Иные ценные бумаги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обязательств, выраженных в иностранной валюте, стоимость указывается в рублях по курсу </w:t>
      </w:r>
      <w:r>
        <w:rPr>
          <w:rFonts w:ascii="Arial CYR" w:hAnsi="Arial CYR" w:cs="Arial CYR"/>
          <w:sz w:val="20"/>
          <w:szCs w:val="20"/>
        </w:rPr>
        <w:lastRenderedPageBreak/>
        <w:t xml:space="preserve">Банка России на отчетную дату (с учетом положений </w:t>
      </w:r>
      <w:hyperlink r:id="rId50"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w:t>
      </w:r>
      <w:hyperlink r:id="rId51" w:history="1">
        <w:r>
          <w:rPr>
            <w:rFonts w:ascii="Arial CYR" w:hAnsi="Arial CYR" w:cs="Arial CYR"/>
            <w:color w:val="0000FF"/>
            <w:sz w:val="20"/>
            <w:szCs w:val="20"/>
            <w:u w:val="single"/>
          </w:rPr>
          <w:t>https://mintrud.gov.ru/ministry/programms/anticorruption/9/21</w:t>
        </w:r>
      </w:hyperlink>
      <w:r>
        <w:rPr>
          <w:rFonts w:ascii="Arial CYR" w:hAnsi="Arial CYR" w:cs="Arial CYR"/>
          <w:sz w:val="20"/>
          <w:szCs w:val="20"/>
        </w:rPr>
        <w:t>).</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6. СВЕДЕНИЯ ОБ ОБЯЗАТЕЛЬСТВАХ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ИМУЩЕСТВЕННОГО ХАРАКТЕРА</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6.1. Объекты недвижимого имущества, находящиеся в пользовании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отсутствует фактическое пользование этим объектом супругом;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эти объекты указаны в подразделе 3.1 раздела 3 соответствующей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Аналогично в отношении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192. В том числе указанию подлежат сведения о жилом помещении (дом, квартира, комната), нежилом помещении, земельном участке, гараже и т.д.:</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w:t>
      </w:r>
      <w:r>
        <w:rPr>
          <w:rFonts w:ascii="Arial CYR" w:hAnsi="Arial CYR" w:cs="Arial CYR"/>
          <w:sz w:val="20"/>
          <w:szCs w:val="20"/>
        </w:rPr>
        <w:lastRenderedPageBreak/>
        <w:t>местом прохождения федеральной государственной службы;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занимаемых по договору аренды (найма, поднайма);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занимаемых по договорам социального найма;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принадлежащих на праве пожизненного наследуемого владения земельным участком;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193. Отражению подлежит также, например, земельный участок, на котором расположен частный дом, находящийся в пользовании.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194. При этом указывается общая площадь объекта недвижимого имущества, находящегося в пользовании.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195. Сведения об объектах недвижимого имущества, находящихся в пользовании, указываются по состоянию на отчетную дату.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196. В графе "Вид имущества" указывается вид недвижимого имущества (земельный участок, жилой дом, дача, квартира, комната и др.).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197. В графе "Вид и сроки пользования" указываются вид пользования (аренда, безвозмездное пользование и др.) и сроки пользования.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При этом данные доли собственности должны быть отражены в подразделе 3.1. раздела 3 справок служащего (работника) и его супруги (супруга).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Аналогично в отношении несовершеннолетних детей.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При этом не требуется на официальных сайтах соответствующих органов и организаций в </w:t>
      </w:r>
      <w:r>
        <w:rPr>
          <w:rFonts w:ascii="Arial CYR" w:hAnsi="Arial CYR" w:cs="Arial CYR"/>
          <w:sz w:val="20"/>
          <w:szCs w:val="20"/>
        </w:rPr>
        <w:lastRenderedPageBreak/>
        <w:t>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201. Графа "Площадь (кв. м)" заполняется на основании правоустанавливающих документов, а в случае их отсутствия - исходя из фактических значений.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Подраздел 6.2. Срочные обязательства финансового характера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Данный подраздел также подлежит заполнению в случае, если лицо, в отношении которого представляются Сведения, является созаемщиком.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Например,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206. В графе "Сумма обязательства / размер обязательства по состоянию на отчетную дату" указываются: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r:id="rId52"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53" w:history="1">
        <w:r>
          <w:rPr>
            <w:rFonts w:ascii="Arial CYR" w:hAnsi="Arial CYR" w:cs="Arial CYR"/>
            <w:color w:val="0000FF"/>
            <w:sz w:val="20"/>
            <w:szCs w:val="20"/>
            <w:u w:val="single"/>
          </w:rPr>
          <w:t>https://www.cbr.ru/currency_base/daily/</w:t>
        </w:r>
      </w:hyperlink>
      <w:r>
        <w:rPr>
          <w:rFonts w:ascii="Arial CYR" w:hAnsi="Arial CYR" w:cs="Arial CYR"/>
          <w:sz w:val="20"/>
          <w:szCs w:val="20"/>
        </w:rPr>
        <w:t>.</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209. Помимо прочего подлежат указанию: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договор финансовой аренды (лизинг);</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договор займа;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договор финансирования под уступку денежного требования;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обязательства, связанные с заключением договора об уступке права требования;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обязательства вследствие причинения вреда (финансовые);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выкупленная дебиторская задолженность;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предоставленные брокером займы (т.н. "маржинальные сделки");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обязательства по незакрытым сделкам РЕПО и СВОП (у клиента имеются требования и обязательства по этим сделкам);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фьючерсный договор;</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 иные обязательства, в том числе установленные решением суда.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210. При этом в данном подразделе не указываются, например, договор срочного банковского вклада.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211. Для заполнения данного подраздела в отношении срочных обязательств финансового </w:t>
      </w:r>
      <w:r>
        <w:rPr>
          <w:rFonts w:ascii="Arial CYR" w:hAnsi="Arial CYR" w:cs="Arial CYR"/>
          <w:sz w:val="20"/>
          <w:szCs w:val="20"/>
        </w:rPr>
        <w:lastRenderedPageBreak/>
        <w:t>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N 5798-У.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212. Отдельные виды срочных обязательств финансового характера: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Данный порядок применяется также в случае использования счетов эскроу.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Обязательства, возникающие исходя из условий договора страхования, по иным видам страхования (непоименованным в </w:t>
      </w:r>
      <w:hyperlink r:id="rId54" w:history="1">
        <w:r>
          <w:rPr>
            <w:rFonts w:ascii="Arial CYR" w:hAnsi="Arial CYR" w:cs="Arial CYR"/>
            <w:color w:val="0000FF"/>
            <w:sz w:val="20"/>
            <w:szCs w:val="20"/>
          </w:rPr>
          <w:t>абзаце первом</w:t>
        </w:r>
      </w:hyperlink>
      <w:r>
        <w:rPr>
          <w:rFonts w:ascii="Arial CYR" w:hAnsi="Arial CYR" w:cs="Arial CYR"/>
          <w:sz w:val="20"/>
          <w:szCs w:val="20"/>
        </w:rPr>
        <w:t xml:space="preserve"> рассматриваемого подпункта) не подлежат отражению в подразделе 6.2 раздела 6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Справку рекомендуется заполнять с учетом сведений, полученных от страховщика в рамках Указания Банка России N 5798-У.</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r:id="rId55"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РАЗДЕЛ 7. СВЕДЕНИЯ О НЕДВИЖИМОМ ИМУЩЕСТВЕ, ТРАНСПОРТНЫХ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СРЕДСТВАХ, ЦЕННЫХ БУМАГАХ, ЦИФРОВЫХ ФИНАНСОВЫХ АКТИВАХ,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ЦИФРОВЫХ ПРАВАХ, ВКЛЮЧАЮЩИХ ОДНОВРЕМЕННО ЦИФРОВЫЕ ФИНАНСОВЫЕ</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АКТИВЫ И ИНЫЕ ЦИФРОВЫЕ ПРАВА, ОБ УТИЛИТАРНЫХ ЦИФРОВЫХ ПРАВАХ</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ЦИФРОВОЙ ВАЛЮТЕ, ОТЧУЖДЕННЫХ В ТЕЧЕНИЕ ОТЧЕТНОГО ПЕРИОДА</w:t>
      </w:r>
    </w:p>
    <w:p w:rsidR="00432C66" w:rsidRDefault="00432C66">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В РЕЗУЛЬТАТЕ БЕЗВОЗМЕЗДНОЙ СДЕЛКИ</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216. Уничтоженные объекты имущества не подлежат отражению в данном разделе справки.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217. Договор мены не подлежит отражению в данном разделе справки, так как он является возмездным.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219. Каждый объект безвозмездной сделки указывается отдельно.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220.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56" w:history="1">
        <w:r>
          <w:rPr>
            <w:rFonts w:ascii="Arial CYR" w:hAnsi="Arial CYR" w:cs="Arial CYR"/>
            <w:color w:val="0000FF"/>
            <w:sz w:val="20"/>
            <w:szCs w:val="20"/>
          </w:rPr>
          <w:t>пунктом 108</w:t>
        </w:r>
      </w:hyperlink>
      <w:r>
        <w:rPr>
          <w:rFonts w:ascii="Arial CYR" w:hAnsi="Arial CYR" w:cs="Arial CYR"/>
          <w:sz w:val="20"/>
          <w:szCs w:val="20"/>
        </w:rPr>
        <w:t xml:space="preserve"> настоящих Методических рекомендаций), местонахождение (адрес) в соответствии с </w:t>
      </w:r>
      <w:hyperlink r:id="rId57" w:history="1">
        <w:r>
          <w:rPr>
            <w:rFonts w:ascii="Arial CYR" w:hAnsi="Arial CYR" w:cs="Arial CYR"/>
            <w:color w:val="0000FF"/>
            <w:sz w:val="20"/>
            <w:szCs w:val="20"/>
          </w:rPr>
          <w:t>пунктами 116</w:t>
        </w:r>
      </w:hyperlink>
      <w:r>
        <w:rPr>
          <w:rFonts w:ascii="Arial CYR" w:hAnsi="Arial CYR" w:cs="Arial CYR"/>
          <w:sz w:val="20"/>
          <w:szCs w:val="20"/>
        </w:rPr>
        <w:t xml:space="preserve"> и </w:t>
      </w:r>
      <w:hyperlink r:id="rId58" w:history="1">
        <w:r>
          <w:rPr>
            <w:rFonts w:ascii="Arial CYR" w:hAnsi="Arial CYR" w:cs="Arial CYR"/>
            <w:color w:val="0000FF"/>
            <w:sz w:val="20"/>
            <w:szCs w:val="20"/>
          </w:rPr>
          <w:t>117</w:t>
        </w:r>
      </w:hyperlink>
      <w:r>
        <w:rPr>
          <w:rFonts w:ascii="Arial CYR" w:hAnsi="Arial CYR" w:cs="Arial CYR"/>
          <w:sz w:val="20"/>
          <w:szCs w:val="20"/>
        </w:rPr>
        <w:t xml:space="preserve"> настоящих Методических рекомендаций, площадь (кв. м) в соответствии с </w:t>
      </w:r>
      <w:hyperlink r:id="rId59" w:history="1">
        <w:r>
          <w:rPr>
            <w:rFonts w:ascii="Arial CYR" w:hAnsi="Arial CYR" w:cs="Arial CYR"/>
            <w:color w:val="0000FF"/>
            <w:sz w:val="20"/>
            <w:szCs w:val="20"/>
          </w:rPr>
          <w:t>пунктом 118</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221. В строке "Транспортные средства" рекомендуется указывать вид, марку, модель транспортного средства, год изготовления, место регистрации.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222.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r:id="rId60" w:history="1">
        <w:r>
          <w:rPr>
            <w:rFonts w:ascii="Arial CYR" w:hAnsi="Arial CYR" w:cs="Arial CYR"/>
            <w:color w:val="0000FF"/>
            <w:sz w:val="20"/>
            <w:szCs w:val="20"/>
          </w:rPr>
          <w:t>пункта 54</w:t>
        </w:r>
      </w:hyperlink>
      <w:r>
        <w:rPr>
          <w:rFonts w:ascii="Arial CYR" w:hAnsi="Arial CYR" w:cs="Arial CYR"/>
          <w:sz w:val="20"/>
          <w:szCs w:val="20"/>
        </w:rPr>
        <w:t xml:space="preserve"> настоящих 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61" w:history="1">
        <w:r>
          <w:rPr>
            <w:rFonts w:ascii="Arial CYR" w:hAnsi="Arial CYR" w:cs="Arial CYR"/>
            <w:color w:val="0000FF"/>
            <w:sz w:val="20"/>
            <w:szCs w:val="20"/>
          </w:rPr>
          <w:t>пунктом 179</w:t>
        </w:r>
      </w:hyperlink>
      <w:r>
        <w:rPr>
          <w:rFonts w:ascii="Arial CYR" w:hAnsi="Arial CYR" w:cs="Arial CYR"/>
          <w:sz w:val="20"/>
          <w:szCs w:val="20"/>
        </w:rPr>
        <w:t xml:space="preserve"> настоящих Методических рекомендаций, местонахождение организации (адрес) в соответствии с </w:t>
      </w:r>
      <w:hyperlink r:id="rId62" w:history="1">
        <w:r>
          <w:rPr>
            <w:rFonts w:ascii="Arial CYR" w:hAnsi="Arial CYR" w:cs="Arial CYR"/>
            <w:color w:val="0000FF"/>
            <w:sz w:val="20"/>
            <w:szCs w:val="20"/>
          </w:rPr>
          <w:t>пунктом 180</w:t>
        </w:r>
      </w:hyperlink>
      <w:r>
        <w:rPr>
          <w:rFonts w:ascii="Arial CYR" w:hAnsi="Arial CYR" w:cs="Arial CYR"/>
          <w:sz w:val="20"/>
          <w:szCs w:val="20"/>
        </w:rPr>
        <w:t xml:space="preserve"> настоящих Методических рекомендаций, уставный капитал в соответствии с </w:t>
      </w:r>
      <w:hyperlink r:id="rId63" w:history="1">
        <w:r>
          <w:rPr>
            <w:rFonts w:ascii="Arial CYR" w:hAnsi="Arial CYR" w:cs="Arial CYR"/>
            <w:color w:val="0000FF"/>
            <w:sz w:val="20"/>
            <w:szCs w:val="20"/>
          </w:rPr>
          <w:t>пунктом 181</w:t>
        </w:r>
      </w:hyperlink>
      <w:r>
        <w:rPr>
          <w:rFonts w:ascii="Arial CYR" w:hAnsi="Arial CYR" w:cs="Arial CYR"/>
          <w:sz w:val="20"/>
          <w:szCs w:val="20"/>
        </w:rPr>
        <w:t xml:space="preserve"> настоящих Методических рекомендаций, доли участия в соответствии с </w:t>
      </w:r>
      <w:hyperlink r:id="rId64" w:history="1">
        <w:r>
          <w:rPr>
            <w:rFonts w:ascii="Arial CYR" w:hAnsi="Arial CYR" w:cs="Arial CYR"/>
            <w:color w:val="0000FF"/>
            <w:sz w:val="20"/>
            <w:szCs w:val="20"/>
          </w:rPr>
          <w:t>пунктом 182</w:t>
        </w:r>
      </w:hyperlink>
      <w:r>
        <w:rPr>
          <w:rFonts w:ascii="Arial CYR" w:hAnsi="Arial CYR" w:cs="Arial CYR"/>
          <w:sz w:val="20"/>
          <w:szCs w:val="20"/>
        </w:rPr>
        <w:t xml:space="preserve"> настоящих </w:t>
      </w:r>
      <w:r>
        <w:rPr>
          <w:rFonts w:ascii="Arial CYR" w:hAnsi="Arial CYR" w:cs="Arial CYR"/>
          <w:sz w:val="20"/>
          <w:szCs w:val="20"/>
        </w:rPr>
        <w:lastRenderedPageBreak/>
        <w:t>Методических рекомендаций.</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223.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224.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225. В строке "Утилитарные цифровые права" рекомендуется указывать уникальное условное обозначение, идентифицирующее утилитарное цифровое право.</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226.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432C66" w:rsidRDefault="00432C66">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after="0" w:line="240" w:lineRule="auto"/>
        <w:jc w:val="both"/>
        <w:rPr>
          <w:rFonts w:ascii="Arial CYR" w:hAnsi="Arial CYR" w:cs="Arial CYR"/>
          <w:sz w:val="20"/>
          <w:szCs w:val="20"/>
        </w:rPr>
      </w:pPr>
    </w:p>
    <w:p w:rsidR="00432C66" w:rsidRDefault="00432C66">
      <w:pPr>
        <w:widowControl w:val="0"/>
        <w:autoSpaceDE w:val="0"/>
        <w:autoSpaceDN w:val="0"/>
        <w:adjustRightInd w:val="0"/>
        <w:spacing w:before="100" w:after="100" w:line="240" w:lineRule="auto"/>
        <w:jc w:val="both"/>
        <w:rPr>
          <w:rFonts w:ascii="Arial CYR" w:hAnsi="Arial CYR" w:cs="Arial CYR"/>
          <w:sz w:val="2"/>
          <w:szCs w:val="2"/>
        </w:rPr>
      </w:pPr>
    </w:p>
    <w:sectPr w:rsidR="00432C6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32C66"/>
    <w:rsid w:val="00432C66"/>
    <w:rsid w:val="00873DB2"/>
    <w:rsid w:val="00A0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remlin.ru/structure/additional/12" TargetMode="External"/><Relationship Id="rId18" Type="http://schemas.openxmlformats.org/officeDocument/2006/relationships/hyperlink" Target="file:///C:\Users\060FedotovaLA\AppData\Local\Temp\l%20Par241%20%20o" TargetMode="External"/><Relationship Id="rId26" Type="http://schemas.openxmlformats.org/officeDocument/2006/relationships/hyperlink" Target="file:///C:\Users\060FedotovaLA\AppData\Local\Temp\l%20Par241%20%20o" TargetMode="External"/><Relationship Id="rId39" Type="http://schemas.openxmlformats.org/officeDocument/2006/relationships/hyperlink" Target="https://www.cbr.ru/hd_base/metall/metall_base_new/" TargetMode="External"/><Relationship Id="rId21" Type="http://schemas.openxmlformats.org/officeDocument/2006/relationships/hyperlink" Target="file:///C:\Users\060FedotovaLA\AppData\Local\Temp\l%20Par188%20%20o" TargetMode="External"/><Relationship Id="rId34" Type="http://schemas.openxmlformats.org/officeDocument/2006/relationships/hyperlink" Target="file:///C:\Users\060FedotovaLA\AppData\Local\Temp\l%20Par474%20%20o" TargetMode="External"/><Relationship Id="rId42" Type="http://schemas.openxmlformats.org/officeDocument/2006/relationships/hyperlink" Target="file:///C:\Users\060FedotovaLA\AppData\Local\Temp\l%20Par554%20%20o" TargetMode="External"/><Relationship Id="rId47" Type="http://schemas.openxmlformats.org/officeDocument/2006/relationships/hyperlink" Target="https://www.cbr.ru/banking_sector/likvidbase/" TargetMode="External"/><Relationship Id="rId50" Type="http://schemas.openxmlformats.org/officeDocument/2006/relationships/hyperlink" Target="file:///C:\Users\060FedotovaLA\AppData\Local\Temp\l%20Par241%20%20o" TargetMode="External"/><Relationship Id="rId55" Type="http://schemas.openxmlformats.org/officeDocument/2006/relationships/hyperlink" Target="file:///C:\Users\060FedotovaLA\AppData\Local\Temp\l%20Par241%20%20o" TargetMode="External"/><Relationship Id="rId63" Type="http://schemas.openxmlformats.org/officeDocument/2006/relationships/hyperlink" Target="file:///C:\Users\060FedotovaLA\AppData\Local\Temp\l%20Par678%20%20o" TargetMode="External"/><Relationship Id="rId7" Type="http://schemas.openxmlformats.org/officeDocument/2006/relationships/hyperlink" Target="https://mintrud.gov.ru/ministry/programms/anticorruption/9/23" TargetMode="External"/><Relationship Id="rId2" Type="http://schemas.openxmlformats.org/officeDocument/2006/relationships/settings" Target="settings.xml"/><Relationship Id="rId16" Type="http://schemas.openxmlformats.org/officeDocument/2006/relationships/hyperlink" Target="https://mintrud.gov.ru/docs/1872" TargetMode="External"/><Relationship Id="rId20" Type="http://schemas.openxmlformats.org/officeDocument/2006/relationships/hyperlink" Target="file:///C:\Users\060FedotovaLA\AppData\Local\Temp\l%20Par188%20%20o" TargetMode="External"/><Relationship Id="rId29" Type="http://schemas.openxmlformats.org/officeDocument/2006/relationships/hyperlink" Target="file:///C:\Users\060FedotovaLA\AppData\Local\Temp\l%20Par393%20%20o" TargetMode="External"/><Relationship Id="rId41" Type="http://schemas.openxmlformats.org/officeDocument/2006/relationships/hyperlink" Target="file:///C:\Users\060FedotovaLA\AppData\Local\Temp\l%20Par541%20%20o" TargetMode="External"/><Relationship Id="rId54" Type="http://schemas.openxmlformats.org/officeDocument/2006/relationships/hyperlink" Target="file:///C:\Users\060FedotovaLA\AppData\Local\Temp\l%20Par777%20%20o" TargetMode="External"/><Relationship Id="rId62" Type="http://schemas.openxmlformats.org/officeDocument/2006/relationships/hyperlink" Target="file:///C:\Users\060FedotovaLA\AppData\Local\Temp\l%20Par677%20%20o" TargetMode="External"/><Relationship Id="rId1" Type="http://schemas.openxmlformats.org/officeDocument/2006/relationships/styles" Target="styles.xml"/><Relationship Id="rId6" Type="http://schemas.openxmlformats.org/officeDocument/2006/relationships/hyperlink" Target="https://mintrud.gov.ru/ministry/programms/anticorruption/9/23" TargetMode="External"/><Relationship Id="rId11" Type="http://schemas.openxmlformats.org/officeDocument/2006/relationships/hyperlink" Target="https://mintrud.gov.ru/ministry/programms/anticorruption/9/23" TargetMode="External"/><Relationship Id="rId24" Type="http://schemas.openxmlformats.org/officeDocument/2006/relationships/hyperlink" Target="file:///C:\Users\060FedotovaLA\AppData\Local\Temp\l%20Par188%20%20o" TargetMode="External"/><Relationship Id="rId32" Type="http://schemas.openxmlformats.org/officeDocument/2006/relationships/hyperlink" Target="file:///C:\Users\060FedotovaLA\AppData\Local\Temp\l%20Par470%20%20o" TargetMode="External"/><Relationship Id="rId37" Type="http://schemas.openxmlformats.org/officeDocument/2006/relationships/hyperlink" Target="file:///C:\Users\060FedotovaLA\AppData\Local\Temp\l%20Par241%20%20o" TargetMode="External"/><Relationship Id="rId40" Type="http://schemas.openxmlformats.org/officeDocument/2006/relationships/hyperlink" Target="file:///C:\Users\060FedotovaLA\AppData\Local\Temp\l%20Par784%20%20o" TargetMode="External"/><Relationship Id="rId45" Type="http://schemas.openxmlformats.org/officeDocument/2006/relationships/hyperlink" Target="file:///C:\Users\060FedotovaLA\AppData\Local\Temp\l%20Par241%20%20o" TargetMode="External"/><Relationship Id="rId53" Type="http://schemas.openxmlformats.org/officeDocument/2006/relationships/hyperlink" Target="https://www.cbr.ru/currency_base/daily/" TargetMode="External"/><Relationship Id="rId58" Type="http://schemas.openxmlformats.org/officeDocument/2006/relationships/hyperlink" Target="file:///C:\Users\060FedotovaLA\AppData\Local\Temp\l%20Par458%20%20o" TargetMode="External"/><Relationship Id="rId66" Type="http://schemas.openxmlformats.org/officeDocument/2006/relationships/theme" Target="theme/theme1.xml"/><Relationship Id="rId5" Type="http://schemas.openxmlformats.org/officeDocument/2006/relationships/hyperlink" Target="https://mintrud.gov.ru/ministry/programms/anticorruption/9/instruktivno-metodicheskie-materialy-po-fz" TargetMode="External"/><Relationship Id="rId15" Type="http://schemas.openxmlformats.org/officeDocument/2006/relationships/hyperlink" Target="https://www.cbr.ru/currency_base/daily/" TargetMode="External"/><Relationship Id="rId23" Type="http://schemas.openxmlformats.org/officeDocument/2006/relationships/hyperlink" Target="file:///C:\Users\060FedotovaLA\AppData\Local\Temp\l%20Par272%20%20o" TargetMode="External"/><Relationship Id="rId28" Type="http://schemas.openxmlformats.org/officeDocument/2006/relationships/hyperlink" Target="file:///C:\Users\060FedotovaLA\AppData\Local\Temp\l%20Par393%20%20o" TargetMode="External"/><Relationship Id="rId36" Type="http://schemas.openxmlformats.org/officeDocument/2006/relationships/hyperlink" Target="https://cbr.ru/vfs/registers/infr/list_OIS.xlsx" TargetMode="External"/><Relationship Id="rId49" Type="http://schemas.openxmlformats.org/officeDocument/2006/relationships/hyperlink" Target="file:///C:\Users\060FedotovaLA\AppData\Local\Temp\l%20Par241%20%20o" TargetMode="External"/><Relationship Id="rId57" Type="http://schemas.openxmlformats.org/officeDocument/2006/relationships/hyperlink" Target="file:///C:\Users\060FedotovaLA\AppData\Local\Temp\l%20Par451%20%20o" TargetMode="External"/><Relationship Id="rId61" Type="http://schemas.openxmlformats.org/officeDocument/2006/relationships/hyperlink" Target="file:///C:\Users\060FedotovaLA\AppData\Local\Temp\l%20Par675%20%20o" TargetMode="External"/><Relationship Id="rId10" Type="http://schemas.openxmlformats.org/officeDocument/2006/relationships/hyperlink" Target="file:///C:\Users\060FedotovaLA\AppData\Local\Temp\l%20Par89%20%20o" TargetMode="External"/><Relationship Id="rId19" Type="http://schemas.openxmlformats.org/officeDocument/2006/relationships/hyperlink" Target="file:///C:\Users\060FedotovaLA\AppData\Local\Temp\l%20Par297%20%20o" TargetMode="External"/><Relationship Id="rId31" Type="http://schemas.openxmlformats.org/officeDocument/2006/relationships/hyperlink" Target="file:///C:\Users\060FedotovaLA\AppData\Local\Temp\l%20Par470%20%20o" TargetMode="External"/><Relationship Id="rId44" Type="http://schemas.openxmlformats.org/officeDocument/2006/relationships/hyperlink" Target="file:///C:\Users\060FedotovaLA\AppData\Local\Temp\l%20Par37%20%20o" TargetMode="External"/><Relationship Id="rId52" Type="http://schemas.openxmlformats.org/officeDocument/2006/relationships/hyperlink" Target="file:///C:\Users\060FedotovaLA\AppData\Local\Temp\l%20Par241%20%20o" TargetMode="External"/><Relationship Id="rId60" Type="http://schemas.openxmlformats.org/officeDocument/2006/relationships/hyperlink" Target="file:///C:\Users\060FedotovaLA\AppData\Local\Temp\l%20Par241%20%20o" TargetMode="External"/><Relationship Id="rId65" Type="http://schemas.openxmlformats.org/officeDocument/2006/relationships/fontTable" Target="fontTable.xml"/><Relationship Id="rId4" Type="http://schemas.openxmlformats.org/officeDocument/2006/relationships/hyperlink" Target="file:///C:\Users\060FedotovaLA\AppData\Local\Temp\l%20Par25%20%20o" TargetMode="External"/><Relationship Id="rId9" Type="http://schemas.openxmlformats.org/officeDocument/2006/relationships/hyperlink" Target="file:///C:\Users\060FedotovaLA\AppData\Local\Temp\l%20Par66%20%20o"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file:///C:\Users\060FedotovaLA\AppData\Local\Temp\l%20Par777%20%20o" TargetMode="External"/><Relationship Id="rId27" Type="http://schemas.openxmlformats.org/officeDocument/2006/relationships/hyperlink" Target="file:///C:\Users\060FedotovaLA\AppData\Local\Temp\l%20Par188%20%20o" TargetMode="External"/><Relationship Id="rId30" Type="http://schemas.openxmlformats.org/officeDocument/2006/relationships/hyperlink" Target="file:///C:\Users\060FedotovaLA\AppData\Local\Temp\l%20Par393%20%20o" TargetMode="External"/><Relationship Id="rId35" Type="http://schemas.openxmlformats.org/officeDocument/2006/relationships/hyperlink" Target="file:///C:\Users\060FedotovaLA\AppData\Local\Temp\l%20Par482%20%20o" TargetMode="External"/><Relationship Id="rId43" Type="http://schemas.openxmlformats.org/officeDocument/2006/relationships/hyperlink" Target="file:///C:\Users\060FedotovaLA\AppData\Local\Temp\l%20Par241%20%20o" TargetMode="External"/><Relationship Id="rId48" Type="http://schemas.openxmlformats.org/officeDocument/2006/relationships/hyperlink" Target="file:///C:\Users\060FedotovaLA\AppData\Local\Temp\l%20Par241%20%20o" TargetMode="External"/><Relationship Id="rId56" Type="http://schemas.openxmlformats.org/officeDocument/2006/relationships/hyperlink" Target="file:///C:\Users\060FedotovaLA\AppData\Local\Temp\l%20Par441%20%20o" TargetMode="External"/><Relationship Id="rId64" Type="http://schemas.openxmlformats.org/officeDocument/2006/relationships/hyperlink" Target="file:///C:\Users\060FedotovaLA\AppData\Local\Temp\l%20Par681%20%20o" TargetMode="External"/><Relationship Id="rId8" Type="http://schemas.openxmlformats.org/officeDocument/2006/relationships/hyperlink" Target="file:///C:\Users\060FedotovaLA\AppData\Local\Temp\l%20Par73%20%20o" TargetMode="External"/><Relationship Id="rId51" Type="http://schemas.openxmlformats.org/officeDocument/2006/relationships/hyperlink" Target="https://mintrud.gov.ru/ministry/programms/anticorruption/9/21" TargetMode="External"/><Relationship Id="rId3" Type="http://schemas.openxmlformats.org/officeDocument/2006/relationships/webSettings" Target="webSettings.xml"/><Relationship Id="rId12" Type="http://schemas.openxmlformats.org/officeDocument/2006/relationships/hyperlink" Target="https://mintrud.gov.ru/ministry/programms/anticorruption/9/24" TargetMode="External"/><Relationship Id="rId17" Type="http://schemas.openxmlformats.org/officeDocument/2006/relationships/hyperlink" Target="file:///C:\Users\060FedotovaLA\AppData\Local\Temp\l%20Par241%20%20o" TargetMode="External"/><Relationship Id="rId25" Type="http://schemas.openxmlformats.org/officeDocument/2006/relationships/hyperlink" Target="file:///C:\Users\060FedotovaLA\AppData\Local\Temp\l%20Par241%20%20o" TargetMode="External"/><Relationship Id="rId33" Type="http://schemas.openxmlformats.org/officeDocument/2006/relationships/hyperlink" Target="https://lk.rosreestr.ru/eservices/real-estate-objects-online" TargetMode="External"/><Relationship Id="rId38" Type="http://schemas.openxmlformats.org/officeDocument/2006/relationships/hyperlink" Target="https://cbr.ru/vfs/registers/infr/list_invest_platform_op.xlsx" TargetMode="External"/><Relationship Id="rId46" Type="http://schemas.openxmlformats.org/officeDocument/2006/relationships/hyperlink" Target="https://www.nalog.ru/rn77/related_activities/accounting/bank_account/" TargetMode="External"/><Relationship Id="rId59" Type="http://schemas.openxmlformats.org/officeDocument/2006/relationships/hyperlink" Target="file:///C:\Users\060FedotovaLA\AppData\Local\Temp\l%20Par462%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28992</Words>
  <Characters>165257</Characters>
  <Application>Microsoft Office Word</Application>
  <DocSecurity>0</DocSecurity>
  <Lines>1377</Lines>
  <Paragraphs>387</Paragraphs>
  <ScaleCrop>false</ScaleCrop>
  <Company>OPFR</Company>
  <LinksUpToDate>false</LinksUpToDate>
  <CharactersWithSpaces>193862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060FedotovaLA</dc:creator>
  <cp:lastModifiedBy>060FedotovaLA</cp:lastModifiedBy>
  <cp:revision>2</cp:revision>
  <dcterms:created xsi:type="dcterms:W3CDTF">2024-06-28T11:35:00Z</dcterms:created>
  <dcterms:modified xsi:type="dcterms:W3CDTF">2024-06-28T11:35:00Z</dcterms:modified>
</cp:coreProperties>
</file>