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bookmarkStart w:id="0" w:name="_GoBack"/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</w:t>
      </w:r>
      <w:bookmarkEnd w:id="0"/>
      <w:r w:rsidR="009440ED" w:rsidRPr="00F1061E">
        <w:rPr>
          <w:b/>
          <w:sz w:val="27"/>
          <w:szCs w:val="27"/>
        </w:rPr>
        <w:t>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</w:t>
      </w:r>
      <w:r w:rsidR="00643CF6" w:rsidRPr="00643CF6">
        <w:rPr>
          <w:bCs/>
          <w:sz w:val="27"/>
          <w:szCs w:val="27"/>
        </w:rPr>
        <w:lastRenderedPageBreak/>
        <w:t xml:space="preserve">подачи страхователями заявлений 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обучения по охране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</w:t>
      </w:r>
      <w:r w:rsidRPr="00311A93">
        <w:rPr>
          <w:sz w:val="27"/>
          <w:szCs w:val="27"/>
          <w:lang w:eastAsia="ru-RU"/>
        </w:rPr>
        <w:lastRenderedPageBreak/>
        <w:t>услуги по проведению обучения по охране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СИЗ  -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(вендингового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СИЗ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>обязательные предсменные (послесменные) и (или) предрейсовые (послерейсовые)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предсменных (послесменных)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и (или) предрейсовых (послерейсовых)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предсменных (послесменных) и (или) предрейсовых (послерейсовых) осмотров, например, КАП «ЭСМО», Терминал аппаратно-программный для медицинских осмотров «Медикон»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тахографам реализовано право страхователя на приобретение блоков СКЗИ тахографа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тахографа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и контроля работы тахографов,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тахографа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видео-аудиофиксации</w:t>
      </w:r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P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B26D0" w:rsidSect="006E73A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BB" w:rsidRDefault="00B10ABB" w:rsidP="00B10ABB">
      <w:r>
        <w:separator/>
      </w:r>
    </w:p>
  </w:endnote>
  <w:endnote w:type="continuationSeparator" w:id="0">
    <w:p w:rsidR="00B10ABB" w:rsidRDefault="00B10ABB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BB" w:rsidRDefault="00B10ABB" w:rsidP="00B10ABB">
      <w:r>
        <w:separator/>
      </w:r>
    </w:p>
  </w:footnote>
  <w:footnote w:type="continuationSeparator" w:id="0">
    <w:p w:rsidR="00B10ABB" w:rsidRDefault="00B10ABB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AC5554">
          <w:rPr>
            <w:noProof/>
            <w:sz w:val="28"/>
            <w:szCs w:val="28"/>
          </w:rPr>
          <w:t>3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C5554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E0FCB-444C-4CE5-95D4-2FEC970A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Орлова Мария Владимировна</cp:lastModifiedBy>
  <cp:revision>34</cp:revision>
  <cp:lastPrinted>2025-12-19T07:53:00Z</cp:lastPrinted>
  <dcterms:created xsi:type="dcterms:W3CDTF">2025-12-01T06:45:00Z</dcterms:created>
  <dcterms:modified xsi:type="dcterms:W3CDTF">2026-01-19T11:39:00Z</dcterms:modified>
</cp:coreProperties>
</file>