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5F" w:rsidRPr="00D825E5" w:rsidRDefault="007F575F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5E5">
        <w:rPr>
          <w:rFonts w:ascii="Times New Roman" w:hAnsi="Times New Roman" w:cs="Times New Roman"/>
          <w:b/>
          <w:sz w:val="26"/>
          <w:szCs w:val="26"/>
        </w:rPr>
        <w:t>Памятка страхователю</w:t>
      </w:r>
    </w:p>
    <w:p w:rsidR="00FE1A98" w:rsidRPr="00D825E5" w:rsidRDefault="007F575F" w:rsidP="007F57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5E5">
        <w:rPr>
          <w:rFonts w:ascii="Times New Roman" w:hAnsi="Times New Roman" w:cs="Times New Roman"/>
          <w:b/>
          <w:sz w:val="26"/>
          <w:szCs w:val="26"/>
        </w:rPr>
        <w:t>о проведении мероприятий по планированию финансового обеспечения предупредительных мер на следующий календарный год</w:t>
      </w:r>
    </w:p>
    <w:p w:rsidR="007F575F" w:rsidRDefault="007F575F" w:rsidP="007F5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75F" w:rsidRDefault="007F575F" w:rsidP="000D0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планированию финансового обеспечения предупредительных мер на следующий календарный год проводятся до конца текущего календарного года с целью эффективного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денежных средств, направляемых на профилактику травматизма и профессиональных заболеваний работников</w:t>
      </w:r>
      <w:r w:rsidR="000D0855">
        <w:rPr>
          <w:rFonts w:ascii="Times New Roman" w:hAnsi="Times New Roman" w:cs="Times New Roman"/>
          <w:sz w:val="24"/>
          <w:szCs w:val="24"/>
        </w:rPr>
        <w:t xml:space="preserve"> и включают</w:t>
      </w:r>
      <w:proofErr w:type="gramEnd"/>
      <w:r w:rsidR="000D0855">
        <w:rPr>
          <w:rFonts w:ascii="Times New Roman" w:hAnsi="Times New Roman" w:cs="Times New Roman"/>
          <w:sz w:val="24"/>
          <w:szCs w:val="24"/>
        </w:rPr>
        <w:t xml:space="preserve"> следующий, рекомендуемый их перечень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161" w:rsidRDefault="007F575F" w:rsidP="000D085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161" w:rsidRPr="00056161">
        <w:rPr>
          <w:rFonts w:ascii="Times New Roman" w:hAnsi="Times New Roman" w:cs="Times New Roman"/>
          <w:b/>
          <w:sz w:val="24"/>
          <w:szCs w:val="24"/>
        </w:rPr>
        <w:t>Пре</w:t>
      </w:r>
      <w:r w:rsidR="00056161" w:rsidRPr="00004A9C">
        <w:rPr>
          <w:rFonts w:ascii="Times New Roman" w:hAnsi="Times New Roman" w:cs="Times New Roman"/>
          <w:b/>
          <w:sz w:val="24"/>
          <w:szCs w:val="24"/>
        </w:rPr>
        <w:t>дварительн</w:t>
      </w:r>
      <w:r w:rsidR="00056161">
        <w:rPr>
          <w:rFonts w:ascii="Times New Roman" w:hAnsi="Times New Roman" w:cs="Times New Roman"/>
          <w:b/>
          <w:sz w:val="24"/>
          <w:szCs w:val="24"/>
        </w:rPr>
        <w:t>ый расчет</w:t>
      </w:r>
    </w:p>
    <w:p w:rsidR="007F575F" w:rsidRPr="00056161" w:rsidRDefault="007F575F" w:rsidP="000D0855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161">
        <w:rPr>
          <w:rFonts w:ascii="Times New Roman" w:hAnsi="Times New Roman" w:cs="Times New Roman"/>
          <w:sz w:val="24"/>
          <w:szCs w:val="24"/>
        </w:rPr>
        <w:t>Проведение предварительного расчета суммы финансирования предупредительных мер</w:t>
      </w:r>
    </w:p>
    <w:p w:rsidR="007F575F" w:rsidRPr="007F575F" w:rsidRDefault="007F575F" w:rsidP="000D0855">
      <w:pPr>
        <w:pStyle w:val="ConsPlusNormal"/>
        <w:tabs>
          <w:tab w:val="left" w:pos="142"/>
        </w:tabs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004A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20 %</w:t>
      </w:r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</w:t>
      </w:r>
      <w:hyperlink r:id="rId8">
        <w:r w:rsidRPr="007F575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пособий</w:t>
        </w:r>
      </w:hyperlink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</w:t>
      </w:r>
      <w:r w:rsid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</w:t>
      </w:r>
      <w:proofErr w:type="gramEnd"/>
      <w:r w:rsid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расходы)</w:t>
      </w:r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F575F" w:rsidRDefault="007F575F" w:rsidP="000D0855">
      <w:pPr>
        <w:pStyle w:val="ConsPlusNormal"/>
        <w:tabs>
          <w:tab w:val="left" w:pos="142"/>
        </w:tabs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60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004A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30 % </w:t>
      </w:r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>сумм страховых взносов, начисленных за предшествующий календарный год, за вычетом расходов, произведенных в предшествующем календарном году</w:t>
      </w:r>
      <w:r w:rsidR="00056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при условии направления </w:t>
      </w:r>
      <w:r w:rsidR="00056161" w:rsidRPr="00056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дополнительного объема средств на санаторно-курортное лечение работников </w:t>
      </w:r>
      <w:r w:rsidR="00056161">
        <w:rPr>
          <w:rFonts w:ascii="Times New Roman" w:eastAsiaTheme="minorHAnsi" w:hAnsi="Times New Roman" w:cs="Times New Roman"/>
          <w:sz w:val="24"/>
          <w:szCs w:val="24"/>
          <w:lang w:eastAsia="en-US"/>
        </w:rPr>
        <w:t>– предпенсионеров и пенсионеров</w:t>
      </w:r>
      <w:r w:rsidRPr="007F575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04A9C" w:rsidRDefault="00004A9C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предварительного расчета используются: </w:t>
      </w:r>
      <w:proofErr w:type="gramStart"/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2 формы ЕФС-1 за 9 месяцев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004A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прогнозируемая сумма страховых взносов за 4 квартал</w:t>
      </w:r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скорректированная с учетом роста (снижения) исчисления страховых взносов к концу года, </w:t>
      </w:r>
      <w:r w:rsidRPr="00004A9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данные раздела III</w:t>
      </w:r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Сведений 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его санаторно-курортного лечения и проезда к месту санаторно-курортного лечения и обратно по ЗЛ, на</w:t>
      </w:r>
      <w:proofErr w:type="gramEnd"/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</w:t>
      </w:r>
      <w:proofErr w:type="gramEnd"/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сведения представлялись в текущем году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сведения </w:t>
      </w:r>
      <w:r w:rsidRPr="00004A9C">
        <w:rPr>
          <w:rFonts w:ascii="Times New Roman" w:eastAsiaTheme="minorEastAsia" w:hAnsi="Times New Roman" w:cs="Times New Roman"/>
          <w:b/>
          <w:bCs/>
          <w:sz w:val="24"/>
          <w:szCs w:val="24"/>
        </w:rPr>
        <w:t>о сумме пособия по временной нетрудоспособности в связи с несчастным случаем на производстве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, </w:t>
      </w:r>
      <w:r w:rsidRPr="00004A9C">
        <w:rPr>
          <w:rFonts w:ascii="Times New Roman" w:eastAsiaTheme="minorEastAsia" w:hAnsi="Times New Roman" w:cs="Times New Roman"/>
          <w:bCs/>
          <w:sz w:val="24"/>
          <w:szCs w:val="24"/>
        </w:rPr>
        <w:t>полученного работником (</w:t>
      </w:r>
      <w:proofErr w:type="spellStart"/>
      <w:r w:rsidRPr="00004A9C">
        <w:rPr>
          <w:rFonts w:ascii="Times New Roman" w:eastAsiaTheme="minorEastAsia" w:hAnsi="Times New Roman" w:cs="Times New Roman"/>
          <w:bCs/>
          <w:sz w:val="24"/>
          <w:szCs w:val="24"/>
        </w:rPr>
        <w:t>ами</w:t>
      </w:r>
      <w:proofErr w:type="spellEnd"/>
      <w:r w:rsidRPr="00004A9C">
        <w:rPr>
          <w:rFonts w:ascii="Times New Roman" w:eastAsiaTheme="minorEastAsia" w:hAnsi="Times New Roman" w:cs="Times New Roman"/>
          <w:bCs/>
          <w:sz w:val="24"/>
          <w:szCs w:val="24"/>
        </w:rPr>
        <w:t xml:space="preserve">) </w:t>
      </w:r>
      <w:r w:rsidRPr="00004A9C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текущем году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04A9C" w:rsidRDefault="00004A9C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Предварительные суммы расходов могут быть получены в Отделении Социального фонда путем направления соответствующего запроса. Форма запроса прилагается.</w:t>
      </w:r>
    </w:p>
    <w:p w:rsidR="00056161" w:rsidRPr="00056161" w:rsidRDefault="00004A9C" w:rsidP="000D0855">
      <w:pPr>
        <w:pStyle w:val="ConsPlusNormal"/>
        <w:tabs>
          <w:tab w:val="left" w:pos="142"/>
        </w:tabs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61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5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61" w:rsidRPr="00056161">
        <w:rPr>
          <w:rFonts w:ascii="Times New Roman" w:hAnsi="Times New Roman" w:cs="Times New Roman"/>
          <w:b/>
          <w:sz w:val="24"/>
          <w:szCs w:val="24"/>
        </w:rPr>
        <w:t>П</w:t>
      </w:r>
      <w:r w:rsidR="00056161" w:rsidRPr="00056161">
        <w:rPr>
          <w:rFonts w:ascii="Times New Roman" w:eastAsiaTheme="minorEastAsia" w:hAnsi="Times New Roman" w:cs="Times New Roman"/>
          <w:b/>
          <w:sz w:val="24"/>
          <w:szCs w:val="24"/>
        </w:rPr>
        <w:t>редупредительные меры</w:t>
      </w:r>
    </w:p>
    <w:p w:rsidR="00004A9C" w:rsidRPr="00056161" w:rsidRDefault="00004A9C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161">
        <w:rPr>
          <w:rFonts w:ascii="Times New Roman" w:eastAsiaTheme="minorEastAsia" w:hAnsi="Times New Roman" w:cs="Times New Roman"/>
          <w:sz w:val="24"/>
          <w:szCs w:val="24"/>
        </w:rPr>
        <w:t>Определение перечня предупредительных мер, подлежащих финансированию, и объема собственных сре</w:t>
      </w:r>
      <w:proofErr w:type="gramStart"/>
      <w:r w:rsidRPr="00056161">
        <w:rPr>
          <w:rFonts w:ascii="Times New Roman" w:eastAsiaTheme="minorEastAsia" w:hAnsi="Times New Roman" w:cs="Times New Roman"/>
          <w:sz w:val="24"/>
          <w:szCs w:val="24"/>
        </w:rPr>
        <w:t>дств дл</w:t>
      </w:r>
      <w:proofErr w:type="gramEnd"/>
      <w:r w:rsidRPr="00056161">
        <w:rPr>
          <w:rFonts w:ascii="Times New Roman" w:eastAsiaTheme="minorEastAsia" w:hAnsi="Times New Roman" w:cs="Times New Roman"/>
          <w:sz w:val="24"/>
          <w:szCs w:val="24"/>
        </w:rPr>
        <w:t>я направления на выбранные предупредительные меры.</w:t>
      </w:r>
    </w:p>
    <w:p w:rsidR="00182311" w:rsidRPr="00004A9C" w:rsidRDefault="000D0855" w:rsidP="000D08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A9C">
        <w:rPr>
          <w:rFonts w:ascii="Times New Roman" w:eastAsiaTheme="minorEastAsia" w:hAnsi="Times New Roman" w:cs="Times New Roman"/>
          <w:sz w:val="24"/>
          <w:szCs w:val="24"/>
        </w:rPr>
        <w:t xml:space="preserve">При планировании </w:t>
      </w:r>
      <w:r w:rsidR="006F5B67">
        <w:rPr>
          <w:rFonts w:ascii="Times New Roman" w:eastAsiaTheme="minorEastAsia" w:hAnsi="Times New Roman" w:cs="Times New Roman"/>
          <w:sz w:val="24"/>
          <w:szCs w:val="24"/>
        </w:rPr>
        <w:t xml:space="preserve">следует 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>ориентироваться на полный перечень мероприятий, установленных Правилами финансового обеспечения (17 мероприятий)</w:t>
      </w:r>
      <w:r w:rsidR="006F5B67">
        <w:rPr>
          <w:rFonts w:ascii="Times New Roman" w:eastAsiaTheme="minorEastAsia" w:hAnsi="Times New Roman" w:cs="Times New Roman"/>
          <w:sz w:val="24"/>
          <w:szCs w:val="24"/>
        </w:rPr>
        <w:t xml:space="preserve"> и у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>делить внимание мероприятиям, которые способствуют реализации мер по устранению причин наступления несчастного случая (</w:t>
      </w:r>
      <w:r w:rsidR="00C323F5">
        <w:rPr>
          <w:rFonts w:ascii="Times New Roman" w:eastAsiaTheme="minorEastAsia" w:hAnsi="Times New Roman" w:cs="Times New Roman"/>
          <w:sz w:val="24"/>
          <w:szCs w:val="24"/>
        </w:rPr>
        <w:t>отражены в п.12 Акта формы Н-1), случая профессионального заболевания.</w:t>
      </w:r>
    </w:p>
    <w:p w:rsidR="00182311" w:rsidRPr="00004A9C" w:rsidRDefault="000D0855" w:rsidP="000D08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A9C">
        <w:rPr>
          <w:rFonts w:ascii="Times New Roman" w:eastAsiaTheme="minorEastAsia" w:hAnsi="Times New Roman" w:cs="Times New Roman"/>
          <w:sz w:val="24"/>
          <w:szCs w:val="24"/>
        </w:rPr>
        <w:t xml:space="preserve">Рассмотреть возможность выбора мероприятий, ранее не заявляемых для финансирования, например,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отдельных категорий работников, </w:t>
      </w:r>
      <w:r w:rsidR="00736249">
        <w:rPr>
          <w:rFonts w:ascii="Times New Roman" w:eastAsiaTheme="minorEastAsia" w:hAnsi="Times New Roman" w:cs="Times New Roman"/>
          <w:sz w:val="24"/>
          <w:szCs w:val="24"/>
        </w:rPr>
        <w:t xml:space="preserve">или - 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>оценка профессиональных рисков.</w:t>
      </w:r>
      <w:proofErr w:type="gramEnd"/>
    </w:p>
    <w:p w:rsidR="00056161" w:rsidRPr="00056161" w:rsidRDefault="00004A9C" w:rsidP="000D0855">
      <w:pPr>
        <w:pStyle w:val="ConsPlusNormal"/>
        <w:tabs>
          <w:tab w:val="left" w:pos="142"/>
        </w:tabs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161" w:rsidRPr="00056161">
        <w:rPr>
          <w:rFonts w:ascii="Times New Roman" w:hAnsi="Times New Roman" w:cs="Times New Roman"/>
          <w:b/>
          <w:sz w:val="24"/>
          <w:szCs w:val="24"/>
        </w:rPr>
        <w:t>Бизнес-план</w:t>
      </w:r>
    </w:p>
    <w:p w:rsidR="00004A9C" w:rsidRPr="00004A9C" w:rsidRDefault="00004A9C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B67">
        <w:rPr>
          <w:rFonts w:ascii="Times New Roman" w:eastAsiaTheme="minorEastAsia" w:hAnsi="Times New Roman" w:cs="Times New Roman"/>
          <w:b/>
          <w:sz w:val="24"/>
          <w:szCs w:val="24"/>
        </w:rPr>
        <w:t>Оформление необходимых документов для выделения запланированных денежных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5B67">
        <w:rPr>
          <w:rFonts w:ascii="Times New Roman" w:eastAsiaTheme="minorEastAsia" w:hAnsi="Times New Roman" w:cs="Times New Roman"/>
          <w:b/>
          <w:sz w:val="24"/>
          <w:szCs w:val="24"/>
        </w:rPr>
        <w:t>средств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 xml:space="preserve"> (бизнес-план, смета и др.) </w:t>
      </w:r>
      <w:r w:rsidRPr="006F5B67">
        <w:rPr>
          <w:rFonts w:ascii="Times New Roman" w:eastAsiaTheme="minorEastAsia" w:hAnsi="Times New Roman" w:cs="Times New Roman"/>
          <w:b/>
          <w:sz w:val="24"/>
          <w:szCs w:val="24"/>
        </w:rPr>
        <w:t xml:space="preserve">и согласование </w:t>
      </w:r>
      <w:r w:rsidR="006F5B67" w:rsidRPr="006F5B67">
        <w:rPr>
          <w:rFonts w:ascii="Times New Roman" w:eastAsiaTheme="minorEastAsia" w:hAnsi="Times New Roman" w:cs="Times New Roman"/>
          <w:b/>
          <w:sz w:val="24"/>
          <w:szCs w:val="24"/>
        </w:rPr>
        <w:t xml:space="preserve">сумм </w:t>
      </w:r>
      <w:r w:rsidRPr="006F5B67">
        <w:rPr>
          <w:rFonts w:ascii="Times New Roman" w:eastAsiaTheme="minorEastAsia" w:hAnsi="Times New Roman" w:cs="Times New Roman"/>
          <w:b/>
          <w:sz w:val="24"/>
          <w:szCs w:val="24"/>
        </w:rPr>
        <w:t>с вышестоящей организацией</w:t>
      </w:r>
      <w:r w:rsidRPr="00004A9C">
        <w:rPr>
          <w:rFonts w:ascii="Times New Roman" w:eastAsiaTheme="minorEastAsia" w:hAnsi="Times New Roman" w:cs="Times New Roman"/>
          <w:sz w:val="24"/>
          <w:szCs w:val="24"/>
        </w:rPr>
        <w:t xml:space="preserve"> – для филиалов, обособленных подразделений (при необходимости).</w:t>
      </w:r>
    </w:p>
    <w:p w:rsidR="00056161" w:rsidRDefault="00056161" w:rsidP="000D085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6161" w:rsidRPr="00056161" w:rsidRDefault="006F5B67" w:rsidP="000D08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61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5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61" w:rsidRPr="00056161">
        <w:rPr>
          <w:rFonts w:ascii="Times New Roman" w:hAnsi="Times New Roman" w:cs="Times New Roman"/>
          <w:b/>
          <w:sz w:val="24"/>
          <w:szCs w:val="24"/>
        </w:rPr>
        <w:t>П</w:t>
      </w:r>
      <w:r w:rsidR="00056161"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>латежная дисциплина</w:t>
      </w:r>
    </w:p>
    <w:p w:rsidR="006F5B67" w:rsidRDefault="006F5B67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F5B67">
        <w:rPr>
          <w:rFonts w:ascii="Times New Roman" w:eastAsiaTheme="minorEastAsia" w:hAnsi="Times New Roman" w:cs="Times New Roman"/>
          <w:b/>
          <w:bCs/>
          <w:sz w:val="24"/>
          <w:szCs w:val="24"/>
        </w:rPr>
        <w:t>Анализ платежной дисциплины</w:t>
      </w:r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части уплаты страховых взносов на обязательное социальное страхование от несчастных случаев и профессиональных заболеваний, пеней и штрафов (</w:t>
      </w:r>
      <w:r w:rsidRPr="006F5B67">
        <w:rPr>
          <w:rFonts w:ascii="Times New Roman" w:eastAsiaTheme="minorEastAsia" w:hAnsi="Times New Roman" w:cs="Times New Roman"/>
          <w:b/>
          <w:bCs/>
          <w:sz w:val="24"/>
          <w:szCs w:val="24"/>
        </w:rPr>
        <w:t>исключение наличия недоимки, пени</w:t>
      </w:r>
      <w:r w:rsidR="004711F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на дату подачи заявления на финансовое обеспечение предупредительных мер</w:t>
      </w:r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>).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6F5B67" w:rsidRPr="006F5B67" w:rsidRDefault="006F5B67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Уточнение состояния уплаты путем направления в Отделение Социального фонда </w:t>
      </w:r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>запрос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а</w:t>
      </w:r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справки о состоянии расчетов по уплате </w:t>
      </w:r>
      <w:proofErr w:type="gramStart"/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>СВ</w:t>
      </w:r>
      <w:proofErr w:type="gramEnd"/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на ОСС по НС и ПЗ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056161" w:rsidRPr="00056161" w:rsidRDefault="006F5B67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61">
        <w:rPr>
          <w:rFonts w:ascii="Times New Roman" w:hAnsi="Times New Roman" w:cs="Times New Roman"/>
          <w:b/>
          <w:sz w:val="24"/>
          <w:szCs w:val="24"/>
        </w:rPr>
        <w:lastRenderedPageBreak/>
        <w:sym w:font="Symbol" w:char="F0B7"/>
      </w:r>
      <w:r w:rsidRPr="0005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61" w:rsidRPr="00056161">
        <w:rPr>
          <w:rFonts w:ascii="Times New Roman" w:hAnsi="Times New Roman" w:cs="Times New Roman"/>
          <w:b/>
          <w:sz w:val="24"/>
          <w:szCs w:val="24"/>
        </w:rPr>
        <w:t>К</w:t>
      </w:r>
      <w:r w:rsidR="00056161"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>оллективный договор</w:t>
      </w:r>
      <w:r w:rsidR="00C323F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(Соглашение по охране труда)</w:t>
      </w:r>
    </w:p>
    <w:p w:rsidR="006F5B67" w:rsidRPr="006F5B67" w:rsidRDefault="006F5B67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36249">
        <w:rPr>
          <w:rFonts w:ascii="Times New Roman" w:eastAsiaTheme="minorEastAsia" w:hAnsi="Times New Roman" w:cs="Times New Roman"/>
          <w:bCs/>
          <w:sz w:val="24"/>
          <w:szCs w:val="24"/>
        </w:rPr>
        <w:t>Внесение дополнений в коллективный договор</w:t>
      </w:r>
      <w:r w:rsidR="00C323F5" w:rsidRPr="0073624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(соглашение по охране труда)</w:t>
      </w:r>
      <w:r w:rsidRPr="006F5B6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о направлении работников на санаторно-курортное лечение</w:t>
      </w:r>
      <w:r w:rsidRPr="006F5B6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(при необходимости).</w:t>
      </w:r>
    </w:p>
    <w:p w:rsidR="00056161" w:rsidRPr="00056161" w:rsidRDefault="00056161" w:rsidP="000D0855">
      <w:pPr>
        <w:pStyle w:val="ConsPlusNormal"/>
        <w:tabs>
          <w:tab w:val="left" w:pos="142"/>
        </w:tabs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61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561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056161" w:rsidRPr="00056161" w:rsidRDefault="00056161" w:rsidP="000D0855">
      <w:pPr>
        <w:pStyle w:val="ConsPlusNormal"/>
        <w:tabs>
          <w:tab w:val="left" w:pos="142"/>
        </w:tabs>
        <w:spacing w:before="6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>Проверка актуальности сведений об уполномоченных лицах в доверенностях и сроках действия доверенностей.</w:t>
      </w: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Оформление новых доверенностей на замещающих лиц (замещение руководителя, главного бухгалтера (при наличии)) и лиц, уполномоченных представлять документы в Социальный фонд. </w:t>
      </w:r>
    </w:p>
    <w:p w:rsidR="00056161" w:rsidRPr="00056161" w:rsidRDefault="00056161" w:rsidP="000D085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>Личный кабинет организации</w:t>
      </w:r>
    </w:p>
    <w:p w:rsidR="00056161" w:rsidRPr="00056161" w:rsidRDefault="00056161" w:rsidP="000D0855">
      <w:pPr>
        <w:pStyle w:val="ConsPlusNormal"/>
        <w:spacing w:before="60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Открытие «Личного кабинета организации» на </w:t>
      </w:r>
      <w:proofErr w:type="spellStart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>Гос</w:t>
      </w:r>
      <w:proofErr w:type="gramStart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>.п</w:t>
      </w:r>
      <w:proofErr w:type="gramEnd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>ортале</w:t>
      </w:r>
      <w:proofErr w:type="spellEnd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(при отсутствии) и оформление распорядительных документов о возможности подачи заявлений и документов по финансированию и возмещению уполномоченным сотрудником организации (назначение приказом (распоряжением) с делегированием возможности подписания электронной подписью руководителя заявления и прилагаемых документов в Личном кабинете организации на ЕПГУ).</w:t>
      </w:r>
    </w:p>
    <w:p w:rsidR="00056161" w:rsidRDefault="00056161" w:rsidP="000D085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161">
        <w:rPr>
          <w:rFonts w:ascii="Times New Roman" w:hAnsi="Times New Roman" w:cs="Times New Roman"/>
          <w:b/>
          <w:sz w:val="24"/>
          <w:szCs w:val="24"/>
        </w:rPr>
        <w:t>Особенности планирования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отдельных мероприятий</w:t>
      </w:r>
    </w:p>
    <w:p w:rsidR="00056161" w:rsidRPr="00056161" w:rsidRDefault="00056161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При планировании </w:t>
      </w:r>
      <w:r w:rsidR="009C7EF8">
        <w:rPr>
          <w:rFonts w:ascii="Times New Roman" w:eastAsiaTheme="minorEastAsia" w:hAnsi="Times New Roman" w:cs="Times New Roman"/>
          <w:b/>
          <w:bCs/>
          <w:sz w:val="24"/>
          <w:szCs w:val="24"/>
        </w:rPr>
        <w:t>пер</w:t>
      </w:r>
      <w:r w:rsidR="00191BAE">
        <w:rPr>
          <w:rFonts w:ascii="Times New Roman" w:eastAsiaTheme="minorEastAsia" w:hAnsi="Times New Roman" w:cs="Times New Roman"/>
          <w:b/>
          <w:bCs/>
          <w:sz w:val="24"/>
          <w:szCs w:val="24"/>
        </w:rPr>
        <w:t>и</w:t>
      </w:r>
      <w:r w:rsidR="009C7EF8">
        <w:rPr>
          <w:rFonts w:ascii="Times New Roman" w:eastAsiaTheme="minorEastAsia" w:hAnsi="Times New Roman" w:cs="Times New Roman"/>
          <w:b/>
          <w:bCs/>
          <w:sz w:val="24"/>
          <w:szCs w:val="24"/>
        </w:rPr>
        <w:t>одических</w:t>
      </w:r>
      <w:r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медицинских осмотров</w:t>
      </w: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(обследований) провести анализ сроков имеющегося договора с медицинской организацией на проведение ПМО, заключение нового договора (при истечении сроков) либо пролонгация путем заключения Дополнительного соглашения.</w:t>
      </w:r>
    </w:p>
    <w:p w:rsidR="00182311" w:rsidRPr="000D0855" w:rsidRDefault="00056161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При планировании приобретения </w:t>
      </w:r>
      <w:r w:rsidRPr="0005616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СИЗ и </w:t>
      </w:r>
      <w:r w:rsidR="00FD0B8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смывающих средств – ДСИЗ </w:t>
      </w:r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>предварительно уточнить наличие сертификатов (деклараций) соответствия СИЗ и смывающих средств техническому регламенту Таможенного союза «О безопасности средств индивидуальной защиты» (</w:t>
      </w:r>
      <w:proofErr w:type="gramStart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>ТР</w:t>
      </w:r>
      <w:proofErr w:type="gramEnd"/>
      <w:r w:rsidRPr="00056161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ТС 019/2011). 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Возмещение расходов </w:t>
      </w:r>
      <w:r w:rsidR="00FD0B8A">
        <w:rPr>
          <w:rFonts w:ascii="Times New Roman" w:eastAsiaTheme="minorEastAsia" w:hAnsi="Times New Roman" w:cs="Times New Roman"/>
          <w:bCs/>
          <w:sz w:val="24"/>
          <w:szCs w:val="24"/>
        </w:rPr>
        <w:t>по ДСИЗ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по которым предоставлен сертификат добровольной системы сертификации, </w:t>
      </w:r>
      <w:r w:rsidR="00FD0B8A">
        <w:rPr>
          <w:rFonts w:ascii="Times New Roman" w:eastAsiaTheme="minorEastAsia" w:hAnsi="Times New Roman" w:cs="Times New Roman"/>
          <w:bCs/>
          <w:sz w:val="24"/>
          <w:szCs w:val="24"/>
        </w:rPr>
        <w:t xml:space="preserve">либо при наличии сертификата (декларации) соответствия </w:t>
      </w:r>
      <w:r w:rsidR="00FD0B8A" w:rsidRPr="00056161">
        <w:rPr>
          <w:rFonts w:ascii="Times New Roman" w:eastAsiaTheme="minorEastAsia" w:hAnsi="Times New Roman" w:cs="Times New Roman"/>
          <w:bCs/>
          <w:sz w:val="24"/>
          <w:szCs w:val="24"/>
        </w:rPr>
        <w:t>техническому регламенту Таможенного союза «О безопасности средств индивидуальной защиты»</w:t>
      </w:r>
      <w:r w:rsidR="00FD0B8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отсутствует подтверждение изготовления на территор</w:t>
      </w:r>
      <w:bookmarkStart w:id="1" w:name="_GoBack"/>
      <w:bookmarkEnd w:id="1"/>
      <w:r w:rsidR="00FD0B8A">
        <w:rPr>
          <w:rFonts w:ascii="Times New Roman" w:eastAsiaTheme="minorEastAsia" w:hAnsi="Times New Roman" w:cs="Times New Roman"/>
          <w:bCs/>
          <w:sz w:val="24"/>
          <w:szCs w:val="24"/>
        </w:rPr>
        <w:t xml:space="preserve">ии РФ или государств-членов Евразийского </w:t>
      </w:r>
      <w:r w:rsidR="00736249">
        <w:rPr>
          <w:rFonts w:ascii="Times New Roman" w:eastAsiaTheme="minorEastAsia" w:hAnsi="Times New Roman" w:cs="Times New Roman"/>
          <w:bCs/>
          <w:sz w:val="24"/>
          <w:szCs w:val="24"/>
        </w:rPr>
        <w:t>экономического союза,</w:t>
      </w:r>
      <w:r w:rsidR="00FD0B8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>не осуществляется.</w:t>
      </w:r>
    </w:p>
    <w:p w:rsidR="00056161" w:rsidRPr="000D0855" w:rsidRDefault="000D0855" w:rsidP="000D0855">
      <w:pPr>
        <w:pStyle w:val="ConsPlusNormal"/>
        <w:spacing w:before="120"/>
        <w:ind w:firstLine="567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D0855">
        <w:rPr>
          <w:rFonts w:ascii="Times New Roman" w:hAnsi="Times New Roman" w:cs="Times New Roman"/>
          <w:b/>
          <w:sz w:val="24"/>
          <w:szCs w:val="24"/>
        </w:rPr>
        <w:sym w:font="Symbol" w:char="F0B7"/>
      </w:r>
      <w:r w:rsidRPr="000D0855">
        <w:rPr>
          <w:rFonts w:ascii="Times New Roman" w:hAnsi="Times New Roman" w:cs="Times New Roman"/>
          <w:b/>
          <w:sz w:val="24"/>
          <w:szCs w:val="24"/>
        </w:rPr>
        <w:t xml:space="preserve"> Санаторно-курортное лечение</w:t>
      </w:r>
    </w:p>
    <w:p w:rsidR="000D0855" w:rsidRPr="000D0855" w:rsidRDefault="00736249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sym w:font="Symbol" w:char="F0D6"/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D0855" w:rsidRPr="000D0855">
        <w:rPr>
          <w:rFonts w:ascii="Times New Roman" w:eastAsiaTheme="minorEastAsia" w:hAnsi="Times New Roman" w:cs="Times New Roman"/>
          <w:b/>
          <w:bCs/>
          <w:sz w:val="24"/>
          <w:szCs w:val="24"/>
        </w:rPr>
        <w:t>Определение условий,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на которых будет заключаться в 202</w:t>
      </w:r>
      <w:r w:rsidR="00345A02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году договор с организацией, осуществляющей санаторно-курортное лечение: самостоятельно страхователем либо с привлечением сторонней организации (агента).</w:t>
      </w:r>
    </w:p>
    <w:p w:rsidR="00182311" w:rsidRPr="000D0855" w:rsidRDefault="000D0855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D0855">
        <w:rPr>
          <w:rFonts w:ascii="Times New Roman" w:eastAsiaTheme="minorEastAsia" w:hAnsi="Times New Roman" w:cs="Times New Roman"/>
          <w:bCs/>
          <w:sz w:val="24"/>
          <w:szCs w:val="24"/>
        </w:rPr>
        <w:t>При планировании заключения договора с привлечением сторонней организации (агента) следует предварительно ознакомиться с условиями договора и обратить внимание на размер агентского вознаграждения, иной платы за посреднические услуги и (или) наценки, устанавливаемые агентом, которые не подлежат возмещению.</w:t>
      </w:r>
    </w:p>
    <w:p w:rsidR="000D0855" w:rsidRPr="000D0855" w:rsidRDefault="00736249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sym w:font="Symbol" w:char="F0D6"/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D0855" w:rsidRPr="000D0855">
        <w:rPr>
          <w:rFonts w:ascii="Times New Roman" w:eastAsiaTheme="minorEastAsia" w:hAnsi="Times New Roman" w:cs="Times New Roman"/>
          <w:b/>
          <w:bCs/>
          <w:sz w:val="24"/>
          <w:szCs w:val="24"/>
        </w:rPr>
        <w:t>Определение возможности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прохождения санаторно-курортного лечения </w:t>
      </w:r>
      <w:r w:rsidR="000D0855" w:rsidRPr="000D0855">
        <w:rPr>
          <w:rFonts w:ascii="Times New Roman" w:eastAsiaTheme="minorEastAsia" w:hAnsi="Times New Roman" w:cs="Times New Roman"/>
          <w:b/>
          <w:bCs/>
          <w:sz w:val="24"/>
          <w:szCs w:val="24"/>
        </w:rPr>
        <w:t>в санатории - профилактории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с предоставлением лечения и питания (без проживания) или лечения (без проживания и питания) без отрыва от производства.</w:t>
      </w:r>
    </w:p>
    <w:p w:rsidR="000D0855" w:rsidRPr="000D0855" w:rsidRDefault="00736249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sym w:font="Symbol" w:char="F0D6"/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D0855" w:rsidRPr="000D0855">
        <w:rPr>
          <w:rFonts w:ascii="Times New Roman" w:eastAsiaTheme="minorEastAsia" w:hAnsi="Times New Roman" w:cs="Times New Roman"/>
          <w:b/>
          <w:bCs/>
          <w:sz w:val="24"/>
          <w:szCs w:val="24"/>
        </w:rPr>
        <w:t>Определение работников – претендентов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>, имеющих статусы «предпенсионер», «пенсионер», а также которые приобретут статус «предпенсионер» на дату проведения мероприятия, на санаторно-курортное лечение в 202</w:t>
      </w:r>
      <w:r w:rsidR="00E249D1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году и проведение с ними организационной работы по планированию отпуска (формирование списка претендентов, проведение их опроса с целью установления пожеланий об организации, в которой будет проходить санаторно-курортное лечение, формирование графика отпусков с учетом планирования прохождения санаторно-курортного лечения и</w:t>
      </w:r>
      <w:proofErr w:type="gramEnd"/>
      <w:r w:rsidR="000D0855"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др.).</w:t>
      </w:r>
    </w:p>
    <w:p w:rsidR="00182311" w:rsidRDefault="000D0855" w:rsidP="000D0855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202</w:t>
      </w:r>
      <w:r w:rsidR="00E249D1"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году</w:t>
      </w:r>
      <w:r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к работникам – предпенсионерам (не ранее чем за пять лет до достижения ими возраста, дающего право на назначение страховой пенсии в соответствии с пенсионным законодательством Российской Федерации) относятся: 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мужчины</w:t>
      </w:r>
      <w:r w:rsidRPr="000D085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от 60 лет (196</w:t>
      </w:r>
      <w:r w:rsidR="00485B65"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3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-196</w:t>
      </w:r>
      <w:r w:rsidR="00485B65"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6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г.р.)</w:t>
      </w:r>
      <w:r w:rsidRPr="00485B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женщины от 55 лет (196</w:t>
      </w:r>
      <w:r w:rsidR="00485B65"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8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-197</w:t>
      </w:r>
      <w:r w:rsidR="00485B65"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>1</w:t>
      </w:r>
      <w:r w:rsidRPr="00485B6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г.р.)</w:t>
      </w:r>
      <w:r w:rsidR="00FD0B8A" w:rsidRPr="00485B65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F843D3" w:rsidRDefault="00F843D3" w:rsidP="000D0855">
      <w:pPr>
        <w:pStyle w:val="ConsPlusNormal"/>
        <w:ind w:firstLine="567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004A9C" w:rsidRDefault="000D0855" w:rsidP="000D0855">
      <w:pPr>
        <w:pStyle w:val="ConsPlusNormal"/>
        <w:ind w:firstLine="567"/>
        <w:jc w:val="right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Отделение Социального фонда по Оренбургской области</w:t>
      </w:r>
    </w:p>
    <w:sectPr w:rsidR="00004A9C" w:rsidSect="000D0855"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1D" w:rsidRDefault="00E4591D" w:rsidP="000D0855">
      <w:pPr>
        <w:spacing w:after="0" w:line="240" w:lineRule="auto"/>
      </w:pPr>
      <w:r>
        <w:separator/>
      </w:r>
    </w:p>
  </w:endnote>
  <w:endnote w:type="continuationSeparator" w:id="0">
    <w:p w:rsidR="00E4591D" w:rsidRDefault="00E4591D" w:rsidP="000D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1D" w:rsidRDefault="00E4591D" w:rsidP="000D0855">
      <w:pPr>
        <w:spacing w:after="0" w:line="240" w:lineRule="auto"/>
      </w:pPr>
      <w:r>
        <w:separator/>
      </w:r>
    </w:p>
  </w:footnote>
  <w:footnote w:type="continuationSeparator" w:id="0">
    <w:p w:rsidR="00E4591D" w:rsidRDefault="00E4591D" w:rsidP="000D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059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E4591D" w:rsidRPr="000D0855" w:rsidRDefault="00E4591D">
        <w:pPr>
          <w:pStyle w:val="a8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0D0855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0D0855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0D0855">
          <w:rPr>
            <w:rFonts w:ascii="Times New Roman" w:hAnsi="Times New Roman" w:cs="Times New Roman"/>
            <w:sz w:val="20"/>
            <w:szCs w:val="24"/>
          </w:rPr>
          <w:fldChar w:fldCharType="separate"/>
        </w:r>
        <w:r w:rsidR="00191BAE"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0D0855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4591D" w:rsidRPr="000D0855" w:rsidRDefault="00E4591D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CED"/>
    <w:multiLevelType w:val="hybridMultilevel"/>
    <w:tmpl w:val="69021272"/>
    <w:lvl w:ilvl="0" w:tplc="FA1A6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08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7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A2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88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0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E7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C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0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AB08D6"/>
    <w:multiLevelType w:val="hybridMultilevel"/>
    <w:tmpl w:val="395AC0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CA5F64"/>
    <w:multiLevelType w:val="hybridMultilevel"/>
    <w:tmpl w:val="94A2B9EC"/>
    <w:lvl w:ilvl="0" w:tplc="3A261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8B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4E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CC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CC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6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CF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8D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6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BB4A3A"/>
    <w:multiLevelType w:val="hybridMultilevel"/>
    <w:tmpl w:val="96CA6C72"/>
    <w:lvl w:ilvl="0" w:tplc="F446D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687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AB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E6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42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284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0A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C9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88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8C248D"/>
    <w:multiLevelType w:val="hybridMultilevel"/>
    <w:tmpl w:val="DA466D7E"/>
    <w:lvl w:ilvl="0" w:tplc="0B02B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A6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0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B2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49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C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2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ED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66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09215F"/>
    <w:multiLevelType w:val="hybridMultilevel"/>
    <w:tmpl w:val="C55038BA"/>
    <w:lvl w:ilvl="0" w:tplc="887EA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C4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8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E5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88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C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2A8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0F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8B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96"/>
    <w:rsid w:val="00004A9C"/>
    <w:rsid w:val="00014996"/>
    <w:rsid w:val="00056161"/>
    <w:rsid w:val="000D0855"/>
    <w:rsid w:val="00142EBD"/>
    <w:rsid w:val="00182311"/>
    <w:rsid w:val="00191BAE"/>
    <w:rsid w:val="00345A02"/>
    <w:rsid w:val="004711FE"/>
    <w:rsid w:val="00485B65"/>
    <w:rsid w:val="006F5B67"/>
    <w:rsid w:val="00736249"/>
    <w:rsid w:val="007650DB"/>
    <w:rsid w:val="007F575F"/>
    <w:rsid w:val="00813624"/>
    <w:rsid w:val="00921C7D"/>
    <w:rsid w:val="00957446"/>
    <w:rsid w:val="009C7EF8"/>
    <w:rsid w:val="00C323F5"/>
    <w:rsid w:val="00D825E5"/>
    <w:rsid w:val="00E249D1"/>
    <w:rsid w:val="00E4591D"/>
    <w:rsid w:val="00E53E76"/>
    <w:rsid w:val="00EE5509"/>
    <w:rsid w:val="00F843D3"/>
    <w:rsid w:val="00FD0B8A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E55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55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6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855"/>
  </w:style>
  <w:style w:type="paragraph" w:styleId="aa">
    <w:name w:val="footer"/>
    <w:basedOn w:val="a"/>
    <w:link w:val="ab"/>
    <w:uiPriority w:val="99"/>
    <w:unhideWhenUsed/>
    <w:rsid w:val="000D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E55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55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E7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6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D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855"/>
  </w:style>
  <w:style w:type="paragraph" w:styleId="aa">
    <w:name w:val="footer"/>
    <w:basedOn w:val="a"/>
    <w:link w:val="ab"/>
    <w:uiPriority w:val="99"/>
    <w:unhideWhenUsed/>
    <w:rsid w:val="000D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7B6092006989C3FA56BC2DE50318006BE64C26154236A0283CBC849C01E9A089FE68D70240B6B4BC89DEFRCG0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Виктория Сергеевна</dc:creator>
  <cp:keywords/>
  <dc:description/>
  <cp:lastModifiedBy>Зевин Александр Александрович</cp:lastModifiedBy>
  <cp:revision>16</cp:revision>
  <cp:lastPrinted>2025-11-17T09:51:00Z</cp:lastPrinted>
  <dcterms:created xsi:type="dcterms:W3CDTF">2024-10-24T07:27:00Z</dcterms:created>
  <dcterms:modified xsi:type="dcterms:W3CDTF">2025-12-23T12:00:00Z</dcterms:modified>
</cp:coreProperties>
</file>