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29"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r>
      <w:bookmarkStart w:id="0" w:name="_GoBack"/>
      <w:bookmarkStart w:id="1" w:name="_GoBack"/>
      <w:bookmarkEnd w:id="1"/>
    </w:p>
    <w:p>
      <w:pPr>
        <w:pStyle w:val="Normal"/>
        <w:spacing w:lineRule="exact" w:line="238" w:before="0" w:after="0"/>
        <w:ind w:firstLine="708"/>
        <w:jc w:val="center"/>
        <w:rPr/>
      </w:pPr>
      <w:bookmarkStart w:id="2" w:name="__DdeLink__257_2303698066"/>
      <w:r>
        <w:rPr>
          <w:rFonts w:cs="Times New Roman" w:ascii="Times New Roman" w:hAnsi="Times New Roman"/>
          <w:b/>
          <w:sz w:val="28"/>
          <w:szCs w:val="28"/>
        </w:rPr>
        <w:t>Перечень</w:t>
      </w:r>
    </w:p>
    <w:p>
      <w:pPr>
        <w:pStyle w:val="Normal"/>
        <w:spacing w:lineRule="exact" w:line="238" w:before="0" w:after="0"/>
        <w:ind w:firstLine="708"/>
        <w:jc w:val="center"/>
        <w:rPr/>
      </w:pPr>
      <w:bookmarkStart w:id="3" w:name="__DdeLink__257_2303698066"/>
      <w:r>
        <w:rPr>
          <w:rFonts w:cs="Times New Roman" w:ascii="Times New Roman" w:hAnsi="Times New Roman"/>
          <w:b/>
          <w:sz w:val="28"/>
          <w:szCs w:val="28"/>
        </w:rPr>
        <w:t>региональных выплат и льгот, предоставляемых в настоящее время участникам СВО и членам их семей</w:t>
      </w:r>
      <w:bookmarkEnd w:id="3"/>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tbl>
      <w:tblPr>
        <w:tblStyle w:val="af2"/>
        <w:tblW w:w="15276" w:type="dxa"/>
        <w:jc w:val="left"/>
        <w:tblInd w:w="0" w:type="dxa"/>
        <w:tblCellMar>
          <w:top w:w="0" w:type="dxa"/>
          <w:left w:w="108" w:type="dxa"/>
          <w:bottom w:w="0" w:type="dxa"/>
          <w:right w:w="108" w:type="dxa"/>
        </w:tblCellMar>
        <w:tblLook w:firstRow="1" w:noVBand="1" w:lastRow="0" w:firstColumn="1" w:lastColumn="0" w:noHBand="0" w:val="04a0"/>
      </w:tblPr>
      <w:tblGrid>
        <w:gridCol w:w="3085"/>
        <w:gridCol w:w="2976"/>
        <w:gridCol w:w="2693"/>
        <w:gridCol w:w="3544"/>
        <w:gridCol w:w="2978"/>
      </w:tblGrid>
      <w:tr>
        <w:trPr/>
        <w:tc>
          <w:tcPr>
            <w:tcW w:w="3085" w:type="dxa"/>
            <w:tcBorders/>
            <w:shd w:color="auto" w:fill="F2F2F2" w:themeFill="background1" w:themeFillShade="f2" w:val="clear"/>
          </w:tcPr>
          <w:p>
            <w:pPr>
              <w:pStyle w:val="Normal"/>
              <w:spacing w:before="0" w:after="0"/>
              <w:jc w:val="center"/>
              <w:rPr>
                <w:rFonts w:ascii="Times New Roman" w:hAnsi="Times New Roman"/>
              </w:rPr>
            </w:pPr>
            <w:r>
              <w:rPr>
                <w:rFonts w:eastAsia="Calibri" w:ascii="Times New Roman" w:hAnsi="Times New Roman"/>
                <w:b/>
              </w:rPr>
              <w:t>Форма</w:t>
            </w:r>
          </w:p>
          <w:p>
            <w:pPr>
              <w:pStyle w:val="Normal"/>
              <w:spacing w:before="0" w:after="0"/>
              <w:jc w:val="center"/>
              <w:rPr>
                <w:rFonts w:ascii="Times New Roman" w:hAnsi="Times New Roman"/>
              </w:rPr>
            </w:pPr>
            <w:r>
              <w:rPr>
                <w:rFonts w:eastAsia="Calibri" w:ascii="Times New Roman" w:hAnsi="Times New Roman"/>
                <w:b/>
              </w:rPr>
              <w:t>меры поддержки</w:t>
            </w:r>
          </w:p>
        </w:tc>
        <w:tc>
          <w:tcPr>
            <w:tcW w:w="2976" w:type="dxa"/>
            <w:tcBorders/>
            <w:shd w:color="auto" w:fill="F2F2F2" w:themeFill="background1" w:themeFillShade="f2" w:val="clear"/>
          </w:tcPr>
          <w:p>
            <w:pPr>
              <w:pStyle w:val="Normal"/>
              <w:spacing w:before="0" w:after="0"/>
              <w:jc w:val="center"/>
              <w:rPr>
                <w:rFonts w:ascii="Times New Roman" w:hAnsi="Times New Roman"/>
              </w:rPr>
            </w:pPr>
            <w:r>
              <w:rPr>
                <w:rFonts w:eastAsia="Calibri" w:ascii="Times New Roman" w:hAnsi="Times New Roman"/>
                <w:b/>
              </w:rPr>
              <w:t>Категории получателей мер поддержки</w:t>
            </w:r>
          </w:p>
          <w:p>
            <w:pPr>
              <w:pStyle w:val="Normal"/>
              <w:spacing w:before="0" w:after="0"/>
              <w:jc w:val="center"/>
              <w:rPr>
                <w:rFonts w:ascii="Times New Roman" w:hAnsi="Times New Roman"/>
              </w:rPr>
            </w:pPr>
            <w:r>
              <w:rPr>
                <w:rFonts w:eastAsia="Calibri" w:ascii="Times New Roman" w:hAnsi="Times New Roman"/>
                <w:i/>
              </w:rPr>
              <w:t>(члены семей действующих участников/ветеранов СВО, члены семей погибших участников СВО, члены семей пропавших без вести; участники СВО из числа военнослужащих, сотрудников Росгвардии, ЧВК, бывшие заключённые и др.)</w:t>
            </w:r>
          </w:p>
        </w:tc>
        <w:tc>
          <w:tcPr>
            <w:tcW w:w="2693" w:type="dxa"/>
            <w:tcBorders/>
            <w:shd w:color="auto" w:fill="F2F2F2" w:themeFill="background1" w:themeFillShade="f2" w:val="clear"/>
          </w:tcPr>
          <w:p>
            <w:pPr>
              <w:pStyle w:val="Normal"/>
              <w:spacing w:before="0" w:after="0"/>
              <w:jc w:val="center"/>
              <w:rPr>
                <w:rFonts w:ascii="Times New Roman" w:hAnsi="Times New Roman"/>
              </w:rPr>
            </w:pPr>
            <w:r>
              <w:rPr>
                <w:rFonts w:eastAsia="Calibri" w:ascii="Times New Roman" w:hAnsi="Times New Roman"/>
                <w:b/>
              </w:rPr>
              <w:t>Период предоставления меры</w:t>
            </w:r>
          </w:p>
          <w:p>
            <w:pPr>
              <w:pStyle w:val="Normal"/>
              <w:spacing w:before="0" w:after="0"/>
              <w:jc w:val="center"/>
              <w:rPr>
                <w:rFonts w:ascii="Times New Roman" w:hAnsi="Times New Roman"/>
              </w:rPr>
            </w:pPr>
            <w:r>
              <w:rPr>
                <w:rFonts w:eastAsia="Calibri" w:ascii="Times New Roman" w:hAnsi="Times New Roman"/>
                <w:i/>
              </w:rPr>
              <w:t>(единовременно, на период СВО, в течение 1 года после возвращения с СВО, бессрочно и др.)</w:t>
            </w:r>
          </w:p>
        </w:tc>
        <w:tc>
          <w:tcPr>
            <w:tcW w:w="3544" w:type="dxa"/>
            <w:tcBorders/>
            <w:shd w:color="auto" w:fill="F2F2F2" w:themeFill="background1" w:themeFillShade="f2" w:val="clear"/>
          </w:tcPr>
          <w:p>
            <w:pPr>
              <w:pStyle w:val="Normal"/>
              <w:spacing w:before="0" w:after="0"/>
              <w:jc w:val="center"/>
              <w:rPr>
                <w:rFonts w:ascii="Times New Roman" w:hAnsi="Times New Roman"/>
              </w:rPr>
            </w:pPr>
            <w:r>
              <w:rPr>
                <w:rFonts w:eastAsia="Calibri" w:ascii="Times New Roman" w:hAnsi="Times New Roman"/>
                <w:b/>
              </w:rPr>
              <w:t>Действие меры на территории муниципальных образований</w:t>
            </w:r>
          </w:p>
        </w:tc>
        <w:tc>
          <w:tcPr>
            <w:tcW w:w="2978" w:type="dxa"/>
            <w:tcBorders/>
            <w:shd w:color="auto" w:fill="F2F2F2" w:themeFill="background1" w:themeFillShade="f2" w:val="clear"/>
          </w:tcPr>
          <w:p>
            <w:pPr>
              <w:pStyle w:val="Normal"/>
              <w:spacing w:before="0" w:after="0"/>
              <w:jc w:val="center"/>
              <w:rPr>
                <w:rFonts w:ascii="Times New Roman" w:hAnsi="Times New Roman"/>
              </w:rPr>
            </w:pPr>
            <w:r>
              <w:rPr>
                <w:rFonts w:eastAsia="Calibri" w:ascii="Times New Roman" w:hAnsi="Times New Roman"/>
                <w:b/>
              </w:rPr>
              <w:t>Иные важные условия получения меры</w:t>
            </w:r>
          </w:p>
          <w:p>
            <w:pPr>
              <w:pStyle w:val="Normal"/>
              <w:spacing w:before="0" w:after="0"/>
              <w:jc w:val="center"/>
              <w:rPr>
                <w:rFonts w:ascii="Times New Roman" w:hAnsi="Times New Roman"/>
              </w:rPr>
            </w:pPr>
            <w:r>
              <w:rPr>
                <w:rFonts w:eastAsia="Calibri" w:ascii="Times New Roman" w:hAnsi="Times New Roman"/>
                <w:i/>
              </w:rPr>
              <w:t>(наличие удостоверения ветерана боевых действий и госнаград, заключение военного социального контракта и др.)</w:t>
            </w:r>
          </w:p>
        </w:tc>
      </w:tr>
      <w:tr>
        <w:trPr>
          <w:trHeight w:val="483" w:hRule="atLeast"/>
        </w:trPr>
        <w:tc>
          <w:tcPr>
            <w:tcW w:w="3085" w:type="dxa"/>
            <w:tcBorders/>
            <w:shd w:fill="auto" w:val="clear"/>
          </w:tcPr>
          <w:p>
            <w:pPr>
              <w:pStyle w:val="Normal"/>
              <w:spacing w:before="0" w:after="0"/>
              <w:rPr>
                <w:rFonts w:ascii="Times New Roman" w:hAnsi="Times New Roman"/>
                <w:sz w:val="21"/>
                <w:szCs w:val="21"/>
              </w:rPr>
            </w:pPr>
            <w:r>
              <w:rPr>
                <w:rFonts w:eastAsia="Calibri" w:ascii="Times New Roman" w:hAnsi="Times New Roman"/>
                <w:b/>
                <w:sz w:val="21"/>
                <w:szCs w:val="21"/>
              </w:rPr>
              <w:t>1. </w:t>
            </w:r>
            <w:r>
              <w:rPr>
                <w:rFonts w:eastAsia="Calibri" w:ascii="Times New Roman" w:hAnsi="Times New Roman"/>
                <w:b/>
                <w:spacing w:val="-8"/>
                <w:sz w:val="21"/>
                <w:szCs w:val="21"/>
              </w:rPr>
              <w:t>Региональная выплата при заключении контракта</w:t>
            </w:r>
          </w:p>
        </w:tc>
        <w:tc>
          <w:tcPr>
            <w:tcW w:w="2976" w:type="dxa"/>
            <w:tcBorders/>
            <w:shd w:fill="auto" w:val="clear"/>
          </w:tcPr>
          <w:p>
            <w:pPr>
              <w:pStyle w:val="Normal"/>
              <w:spacing w:lineRule="exact" w:line="238" w:before="0" w:after="0"/>
              <w:rPr>
                <w:rFonts w:ascii="Times New Roman" w:hAnsi="Times New Roman"/>
                <w:sz w:val="21"/>
                <w:szCs w:val="21"/>
              </w:rPr>
            </w:pPr>
            <w:r>
              <w:rPr>
                <w:rFonts w:eastAsia="Calibri" w:ascii="Times New Roman" w:hAnsi="Times New Roman"/>
                <w:sz w:val="21"/>
                <w:szCs w:val="21"/>
              </w:rPr>
              <w:t>- граждане Российской Федерации, заключившие в Пункте отбора на военную службу по контракту (2 разряда), г. Пермь либо в военном комиссариате Пермского края контракт о прохождении военной службы в ВС РФ;</w:t>
            </w:r>
          </w:p>
          <w:p>
            <w:pPr>
              <w:pStyle w:val="Normal"/>
              <w:spacing w:lineRule="exact" w:line="238" w:before="0" w:after="0"/>
              <w:rPr>
                <w:rFonts w:ascii="Times New Roman" w:hAnsi="Times New Roman"/>
                <w:sz w:val="21"/>
                <w:szCs w:val="21"/>
              </w:rPr>
            </w:pPr>
            <w:r>
              <w:rPr>
                <w:rFonts w:eastAsia="Calibri" w:ascii="Times New Roman" w:hAnsi="Times New Roman"/>
                <w:sz w:val="21"/>
                <w:szCs w:val="21"/>
              </w:rPr>
              <w:t>- граждане, призванные из Пермского края и проходящим военную службу по призыву в Вооруженных Силах Российской Федерации и заключившие контракт о прохождении военной службы в ВС РФ;</w:t>
            </w:r>
          </w:p>
          <w:p>
            <w:pPr>
              <w:pStyle w:val="Normal"/>
              <w:spacing w:lineRule="exact" w:line="238" w:before="0" w:after="0"/>
              <w:rPr>
                <w:rFonts w:ascii="Times New Roman" w:hAnsi="Times New Roman"/>
                <w:sz w:val="21"/>
                <w:szCs w:val="21"/>
              </w:rPr>
            </w:pPr>
            <w:r>
              <w:rPr>
                <w:rFonts w:eastAsia="Calibri" w:ascii="Times New Roman" w:hAnsi="Times New Roman"/>
                <w:sz w:val="21"/>
                <w:szCs w:val="21"/>
              </w:rPr>
              <w:t>- граждане, призванные из Пермского края на военную службу по мобилизации в Вооруженные Силы Российской Федерации и заключившие контракт о прохождении военной службы в ВС РФ;</w:t>
            </w:r>
          </w:p>
          <w:p>
            <w:pPr>
              <w:pStyle w:val="Normal"/>
              <w:spacing w:lineRule="exact" w:line="238" w:before="0" w:after="0"/>
              <w:rPr>
                <w:rFonts w:ascii="Times New Roman" w:hAnsi="Times New Roman"/>
                <w:sz w:val="21"/>
                <w:szCs w:val="21"/>
              </w:rPr>
            </w:pPr>
            <w:r>
              <w:rPr>
                <w:rFonts w:eastAsia="Calibri" w:ascii="Times New Roman" w:hAnsi="Times New Roman"/>
                <w:sz w:val="21"/>
                <w:szCs w:val="21"/>
              </w:rPr>
              <w:t>- граждане Российской Федерации из числа осужденных, отбывающих наказание в местах лишения свободы, а также подозреваемых (обвиняемых) в совершении преступлений, которым была избрана мера пресечения в виде заключения под стражу, заключившие в Пункте отбора на военную службу по контракту (2 разряда), г. Пермь либо в военном комиссариате Пермского края контракт о прохождении военной службы в ВС РФ;</w:t>
            </w:r>
          </w:p>
          <w:p>
            <w:pPr>
              <w:pStyle w:val="Normal"/>
              <w:spacing w:lineRule="exact" w:line="238" w:before="0" w:after="0"/>
              <w:rPr>
                <w:rFonts w:ascii="Times New Roman" w:hAnsi="Times New Roman"/>
                <w:sz w:val="21"/>
                <w:szCs w:val="21"/>
              </w:rPr>
            </w:pPr>
            <w:r>
              <w:rPr>
                <w:rFonts w:eastAsia="Calibri" w:ascii="Times New Roman" w:hAnsi="Times New Roman"/>
                <w:sz w:val="21"/>
                <w:szCs w:val="21"/>
              </w:rPr>
              <w:t>- иностранные граждане, заключившие в Пункте отбора на военную службу по контракту (2 разряда), г. Пермь либо в военном комиссариате Пермского края контракт о прохождении военной службы в ВС РФ;</w:t>
            </w:r>
          </w:p>
          <w:p>
            <w:pPr>
              <w:pStyle w:val="Normal"/>
              <w:spacing w:lineRule="exact" w:line="238" w:before="0" w:after="0"/>
              <w:rPr>
                <w:rFonts w:ascii="Times New Roman" w:hAnsi="Times New Roman"/>
                <w:sz w:val="21"/>
                <w:szCs w:val="21"/>
              </w:rPr>
            </w:pPr>
            <w:r>
              <w:rPr>
                <w:rFonts w:eastAsia="Calibri" w:ascii="Times New Roman" w:hAnsi="Times New Roman"/>
                <w:sz w:val="21"/>
                <w:szCs w:val="21"/>
              </w:rPr>
              <w:t>- граждане Российской Федерации, проживающие в Пермском крае, заключившие контракт о прохождении военной службы в войсках национальной гвардии Российской Федерации для участия в специальной военной операции</w:t>
            </w:r>
          </w:p>
        </w:tc>
        <w:tc>
          <w:tcPr>
            <w:tcW w:w="2693" w:type="dxa"/>
            <w:tcBorders/>
            <w:shd w:fill="auto" w:val="clear"/>
          </w:tcPr>
          <w:p>
            <w:pPr>
              <w:pStyle w:val="Normal"/>
              <w:spacing w:lineRule="exact" w:line="238" w:before="0" w:after="0"/>
              <w:rPr>
                <w:rFonts w:ascii="Times New Roman" w:hAnsi="Times New Roman"/>
                <w:sz w:val="21"/>
                <w:szCs w:val="21"/>
              </w:rPr>
            </w:pPr>
            <w:r>
              <w:rPr>
                <w:rFonts w:eastAsia="Calibri" w:ascii="Times New Roman" w:hAnsi="Times New Roman"/>
                <w:sz w:val="21"/>
                <w:szCs w:val="21"/>
              </w:rPr>
              <w:t>Единовременно в размере от 500 тыс до 1,5 млн. руб. (предлагается альтернатива в виде выплаты не более 2 млн рублей в целях приобретения на первичном рынке жилья жилого помещения в муниципальном образовании «город Березники»);</w:t>
            </w:r>
          </w:p>
        </w:tc>
        <w:tc>
          <w:tcPr>
            <w:tcW w:w="3544" w:type="dxa"/>
            <w:tcBorders/>
            <w:shd w:fill="auto" w:val="clear"/>
          </w:tcPr>
          <w:p>
            <w:pPr>
              <w:pStyle w:val="Normal"/>
              <w:spacing w:lineRule="exact" w:line="238" w:before="0" w:after="0"/>
              <w:rPr>
                <w:rFonts w:ascii="Times New Roman" w:hAnsi="Times New Roman"/>
                <w:sz w:val="21"/>
                <w:szCs w:val="21"/>
              </w:rPr>
            </w:pPr>
            <w:r>
              <w:rPr>
                <w:rFonts w:eastAsia="Calibri" w:ascii="Times New Roman" w:hAnsi="Times New Roman"/>
                <w:spacing w:val="-4"/>
                <w:sz w:val="21"/>
                <w:szCs w:val="21"/>
              </w:rPr>
              <w:t>На территории всех муниципальных образований.</w:t>
            </w:r>
          </w:p>
          <w:p>
            <w:pPr>
              <w:pStyle w:val="Normal"/>
              <w:spacing w:lineRule="exact" w:line="238" w:before="0" w:after="0"/>
              <w:rPr>
                <w:rFonts w:ascii="Times New Roman" w:hAnsi="Times New Roman"/>
                <w:sz w:val="21"/>
                <w:szCs w:val="21"/>
              </w:rPr>
            </w:pPr>
            <w:r>
              <w:rPr>
                <w:rFonts w:eastAsia="Calibri" w:ascii="Times New Roman" w:hAnsi="Times New Roman"/>
                <w:spacing w:val="-4"/>
                <w:sz w:val="21"/>
                <w:szCs w:val="21"/>
              </w:rPr>
              <w:t>Дополнительно установлены единовременные муниципальные выплаты:</w:t>
            </w:r>
          </w:p>
          <w:p>
            <w:pPr>
              <w:pStyle w:val="Normal"/>
              <w:spacing w:lineRule="exact" w:line="238" w:before="0" w:after="0"/>
              <w:rPr>
                <w:rFonts w:ascii="Times New Roman" w:hAnsi="Times New Roman"/>
                <w:sz w:val="21"/>
                <w:szCs w:val="21"/>
              </w:rPr>
            </w:pPr>
            <w:r>
              <w:rPr>
                <w:rFonts w:ascii="Times New Roman" w:hAnsi="Times New Roman"/>
                <w:spacing w:val="-4"/>
                <w:sz w:val="21"/>
                <w:szCs w:val="21"/>
              </w:rPr>
              <w:t>250 тыс. руб. - Пермский муниципальный округ;</w:t>
            </w:r>
          </w:p>
          <w:p>
            <w:pPr>
              <w:pStyle w:val="Normal"/>
              <w:spacing w:lineRule="exact" w:line="238" w:before="0" w:after="0"/>
              <w:rPr>
                <w:rFonts w:ascii="Times New Roman" w:hAnsi="Times New Roman"/>
                <w:sz w:val="21"/>
                <w:szCs w:val="21"/>
              </w:rPr>
            </w:pPr>
            <w:r>
              <w:rPr>
                <w:rFonts w:ascii="Times New Roman" w:hAnsi="Times New Roman"/>
                <w:spacing w:val="-4"/>
                <w:sz w:val="21"/>
                <w:szCs w:val="21"/>
              </w:rPr>
              <w:t>150 тыс. руб. - муниципальный округ «город Березники», Добрянский муниципальный округ;</w:t>
            </w:r>
          </w:p>
          <w:p>
            <w:pPr>
              <w:pStyle w:val="Normal"/>
              <w:spacing w:lineRule="exact" w:line="238" w:before="0" w:after="0"/>
              <w:rPr>
                <w:rFonts w:ascii="Times New Roman" w:hAnsi="Times New Roman"/>
                <w:sz w:val="21"/>
                <w:szCs w:val="21"/>
              </w:rPr>
            </w:pPr>
            <w:r>
              <w:rPr>
                <w:rFonts w:ascii="Times New Roman" w:hAnsi="Times New Roman"/>
                <w:spacing w:val="-4"/>
                <w:sz w:val="21"/>
                <w:szCs w:val="21"/>
              </w:rPr>
              <w:t>100 тыс. руб. - г. Пермь, Соликамский муниципальный округ, Чайковский городской округ, Чернушинский муниципальный округ, Кунгурский муниципальный округ, Чердынский муниципальный округ, Суксунский муниципальный округ, Осинский городской округ, ЗАТО Звездный, Куединский муниципальный округ, Косинский муниципальный округ, Кизеловский городской округ;</w:t>
            </w:r>
          </w:p>
          <w:p>
            <w:pPr>
              <w:pStyle w:val="Normal"/>
              <w:spacing w:lineRule="exact" w:line="238" w:before="0" w:after="0"/>
              <w:rPr>
                <w:rFonts w:ascii="Times New Roman" w:hAnsi="Times New Roman"/>
                <w:sz w:val="21"/>
                <w:szCs w:val="21"/>
              </w:rPr>
            </w:pPr>
            <w:r>
              <w:rPr>
                <w:rFonts w:ascii="Times New Roman" w:hAnsi="Times New Roman"/>
                <w:spacing w:val="-4"/>
                <w:sz w:val="21"/>
                <w:szCs w:val="21"/>
              </w:rPr>
              <w:t>50 тыс. руб. - Александровский муниципальный округ, г. Кудымкар, Октябрьский муниципальный округ, Горнозаводск городской округ, Красновишерский муниципальный округ</w:t>
            </w:r>
          </w:p>
        </w:tc>
        <w:tc>
          <w:tcPr>
            <w:tcW w:w="2978" w:type="dxa"/>
            <w:tcBorders/>
            <w:shd w:fill="auto" w:val="clear"/>
          </w:tcPr>
          <w:p>
            <w:pPr>
              <w:pStyle w:val="Normal"/>
              <w:spacing w:lineRule="exact" w:line="238" w:before="0" w:after="0"/>
              <w:rPr>
                <w:rFonts w:ascii="Times New Roman" w:hAnsi="Times New Roman"/>
                <w:sz w:val="21"/>
                <w:szCs w:val="21"/>
              </w:rPr>
            </w:pPr>
            <w:r>
              <w:rPr>
                <w:rFonts w:eastAsia="Calibri" w:ascii="Times New Roman" w:hAnsi="Times New Roman"/>
                <w:sz w:val="21"/>
                <w:szCs w:val="21"/>
              </w:rPr>
              <w:t>1) Заключение в период до 01.10.2025 контракта сроком на один год и более,</w:t>
            </w:r>
          </w:p>
          <w:p>
            <w:pPr>
              <w:pStyle w:val="Normal"/>
              <w:spacing w:lineRule="exact" w:line="238" w:before="0" w:after="0"/>
              <w:rPr>
                <w:rFonts w:ascii="Times New Roman" w:hAnsi="Times New Roman"/>
                <w:sz w:val="21"/>
                <w:szCs w:val="21"/>
              </w:rPr>
            </w:pPr>
            <w:r>
              <w:rPr>
                <w:rFonts w:eastAsia="Calibri" w:ascii="Times New Roman" w:hAnsi="Times New Roman"/>
                <w:sz w:val="21"/>
                <w:szCs w:val="21"/>
              </w:rPr>
              <w:t>2) зачисление в списки личного состава воинских частей</w:t>
            </w:r>
          </w:p>
          <w:p>
            <w:pPr>
              <w:pStyle w:val="Normal"/>
              <w:spacing w:lineRule="exact" w:line="238" w:before="0" w:after="0"/>
              <w:rPr>
                <w:rFonts w:ascii="Times New Roman" w:hAnsi="Times New Roman" w:eastAsia="Calibri"/>
                <w:sz w:val="21"/>
                <w:szCs w:val="21"/>
              </w:rPr>
            </w:pPr>
            <w:r>
              <w:rPr>
                <w:rFonts w:eastAsia="Calibri" w:ascii="Times New Roman" w:hAnsi="Times New Roman"/>
                <w:sz w:val="21"/>
                <w:szCs w:val="21"/>
              </w:rPr>
            </w:r>
          </w:p>
          <w:p>
            <w:pPr>
              <w:pStyle w:val="Normal"/>
              <w:spacing w:lineRule="exact" w:line="238" w:before="0" w:after="0"/>
              <w:rPr>
                <w:rFonts w:ascii="Times New Roman" w:hAnsi="Times New Roman"/>
                <w:sz w:val="21"/>
                <w:szCs w:val="21"/>
              </w:rPr>
            </w:pPr>
            <w:r>
              <w:rPr>
                <w:rFonts w:eastAsia="Calibri" w:ascii="Times New Roman" w:hAnsi="Times New Roman"/>
                <w:sz w:val="21"/>
                <w:szCs w:val="21"/>
              </w:rPr>
              <w:t>Условия для муниципальных выплат определяется муниципалитетом.</w:t>
            </w:r>
          </w:p>
        </w:tc>
      </w:tr>
      <w:tr>
        <w:trPr>
          <w:trHeight w:val="483" w:hRule="atLeast"/>
        </w:trPr>
        <w:tc>
          <w:tcPr>
            <w:tcW w:w="3085" w:type="dxa"/>
            <w:tcBorders/>
            <w:shd w:fill="auto" w:val="clear"/>
          </w:tcPr>
          <w:p>
            <w:pPr>
              <w:pStyle w:val="Normal"/>
              <w:spacing w:before="0" w:after="0"/>
              <w:rPr>
                <w:rFonts w:ascii="Times New Roman" w:hAnsi="Times New Roman"/>
                <w:sz w:val="21"/>
                <w:szCs w:val="21"/>
              </w:rPr>
            </w:pPr>
            <w:r>
              <w:rPr>
                <w:rFonts w:ascii="Times New Roman" w:hAnsi="Times New Roman"/>
                <w:b/>
                <w:bCs/>
                <w:sz w:val="21"/>
                <w:szCs w:val="21"/>
              </w:rPr>
              <w:t>2. Материальная помощь при получении ранения (контузии, травмы, увечье) в размере до 500 тыс. руб. (единоразово) в зависимости от степени тяжести</w:t>
            </w:r>
          </w:p>
        </w:tc>
        <w:tc>
          <w:tcPr>
            <w:tcW w:w="2976" w:type="dxa"/>
            <w:tcBorders/>
            <w:shd w:fill="auto" w:val="clear"/>
          </w:tcPr>
          <w:p>
            <w:pPr>
              <w:pStyle w:val="Normal"/>
              <w:spacing w:before="0" w:after="0"/>
              <w:rPr>
                <w:rFonts w:ascii="Times New Roman" w:hAnsi="Times New Roman"/>
                <w:sz w:val="21"/>
                <w:szCs w:val="21"/>
              </w:rPr>
            </w:pPr>
            <w:r>
              <w:rPr>
                <w:rFonts w:ascii="Times New Roman" w:hAnsi="Times New Roman"/>
                <w:sz w:val="21"/>
                <w:szCs w:val="21"/>
              </w:rPr>
              <w:t>Участники СВО из числа военнослужащих, сотрудников Росгвардии и добровольцев, добровольно поступивших в добровольческие формирования и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ЧВК</w:t>
            </w:r>
          </w:p>
        </w:tc>
        <w:tc>
          <w:tcPr>
            <w:tcW w:w="2693" w:type="dxa"/>
            <w:tcBorders/>
            <w:shd w:fill="auto" w:val="clear"/>
          </w:tcPr>
          <w:p>
            <w:pPr>
              <w:pStyle w:val="Normal"/>
              <w:spacing w:before="0" w:after="0"/>
              <w:rPr>
                <w:rFonts w:ascii="Times New Roman" w:hAnsi="Times New Roman"/>
                <w:sz w:val="21"/>
                <w:szCs w:val="21"/>
              </w:rPr>
            </w:pPr>
            <w:r>
              <w:rPr>
                <w:rFonts w:ascii="Times New Roman" w:hAnsi="Times New Roman"/>
                <w:sz w:val="21"/>
                <w:szCs w:val="21"/>
              </w:rPr>
              <w:t>Единовременно, срок прекращения действия меры не установлен</w:t>
            </w:r>
          </w:p>
        </w:tc>
        <w:tc>
          <w:tcPr>
            <w:tcW w:w="3544" w:type="dxa"/>
            <w:tcBorders/>
            <w:shd w:fill="auto" w:val="clear"/>
          </w:tcPr>
          <w:p>
            <w:pPr>
              <w:pStyle w:val="Normal"/>
              <w:spacing w:before="0" w:after="0"/>
              <w:rPr>
                <w:rFonts w:ascii="Times New Roman" w:hAnsi="Times New Roman"/>
                <w:sz w:val="21"/>
                <w:szCs w:val="21"/>
              </w:rPr>
            </w:pPr>
            <w:r>
              <w:rPr>
                <w:rFonts w:eastAsia="Calibri" w:ascii="Times New Roman" w:hAnsi="Times New Roman"/>
                <w:spacing w:val="-4"/>
                <w:sz w:val="21"/>
                <w:szCs w:val="21"/>
              </w:rPr>
              <w:t>На территории всех муниципальных образований</w:t>
            </w:r>
          </w:p>
        </w:tc>
        <w:tc>
          <w:tcPr>
            <w:tcW w:w="2978" w:type="dxa"/>
            <w:tcBorders/>
            <w:shd w:fill="auto" w:val="clear"/>
          </w:tcPr>
          <w:p>
            <w:pPr>
              <w:pStyle w:val="Normal"/>
              <w:spacing w:before="0" w:after="0"/>
              <w:rPr>
                <w:rFonts w:ascii="Times New Roman" w:hAnsi="Times New Roman"/>
                <w:sz w:val="21"/>
                <w:szCs w:val="21"/>
              </w:rPr>
            </w:pPr>
            <w:r>
              <w:rPr>
                <w:rFonts w:eastAsia="Calibri" w:ascii="Times New Roman" w:hAnsi="Times New Roman"/>
                <w:sz w:val="21"/>
                <w:szCs w:val="21"/>
              </w:rPr>
              <w:t>1) документы, подтверждающие ранение в ходе СВО и установление степени его тяжести;</w:t>
            </w:r>
          </w:p>
          <w:p>
            <w:pPr>
              <w:pStyle w:val="Normal"/>
              <w:spacing w:before="0" w:after="0"/>
              <w:rPr>
                <w:rFonts w:ascii="Times New Roman" w:hAnsi="Times New Roman"/>
                <w:sz w:val="21"/>
                <w:szCs w:val="21"/>
              </w:rPr>
            </w:pPr>
            <w:r>
              <w:rPr>
                <w:rFonts w:eastAsia="Calibri" w:ascii="Times New Roman" w:hAnsi="Times New Roman"/>
                <w:sz w:val="21"/>
                <w:szCs w:val="21"/>
              </w:rPr>
              <w:t>2) для ЧВК - удостоверение ветерана боевых действий</w:t>
            </w:r>
          </w:p>
        </w:tc>
      </w:tr>
      <w:tr>
        <w:trPr>
          <w:trHeight w:val="483" w:hRule="atLeast"/>
        </w:trPr>
        <w:tc>
          <w:tcPr>
            <w:tcW w:w="3085" w:type="dxa"/>
            <w:tcBorders>
              <w:top w:val="nil"/>
            </w:tcBorders>
            <w:shd w:fill="auto" w:val="clear"/>
          </w:tcPr>
          <w:p>
            <w:pPr>
              <w:pStyle w:val="Normal"/>
              <w:spacing w:before="0" w:after="0"/>
              <w:rPr>
                <w:rFonts w:ascii="Times New Roman" w:hAnsi="Times New Roman"/>
                <w:sz w:val="21"/>
                <w:szCs w:val="21"/>
              </w:rPr>
            </w:pPr>
            <w:r>
              <w:rPr>
                <w:rFonts w:ascii="Times New Roman" w:hAnsi="Times New Roman"/>
                <w:b/>
                <w:bCs/>
                <w:sz w:val="21"/>
                <w:szCs w:val="21"/>
              </w:rPr>
              <w:t>3. Материальная помощь членам семьи погибшего (умершего) военнослужащих, лиц, проходивших службу в войсках национальной гвардии Российской Федерации и имевших специальное звание полиции, и добровольцев, принимавших участие в СВО в размере 1 млн. руб. (в равных долях на всех членов семьи)</w:t>
            </w:r>
          </w:p>
        </w:tc>
        <w:tc>
          <w:tcPr>
            <w:tcW w:w="2976" w:type="dxa"/>
            <w:tcBorders>
              <w:top w:val="nil"/>
            </w:tcBorders>
            <w:shd w:fill="auto" w:val="clear"/>
          </w:tcPr>
          <w:p>
            <w:pPr>
              <w:pStyle w:val="Normal"/>
              <w:spacing w:before="0" w:after="0"/>
              <w:rPr>
                <w:rFonts w:ascii="Times New Roman" w:hAnsi="Times New Roman"/>
                <w:sz w:val="21"/>
                <w:szCs w:val="21"/>
              </w:rPr>
            </w:pPr>
            <w:r>
              <w:rPr>
                <w:rFonts w:ascii="Times New Roman" w:hAnsi="Times New Roman"/>
                <w:sz w:val="21"/>
                <w:szCs w:val="21"/>
              </w:rPr>
              <w:t>Члены семьи (родственники) погибших участников СВО из числа военнослужащих, сотрудников Росгвардии и добровольцев, добровольно поступивших в добровольческие формирования и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pPr>
              <w:pStyle w:val="Normal"/>
              <w:spacing w:before="0" w:after="0"/>
              <w:rPr>
                <w:rFonts w:ascii="Times New Roman" w:hAnsi="Times New Roman"/>
                <w:sz w:val="21"/>
                <w:szCs w:val="21"/>
              </w:rPr>
            </w:pPr>
            <w:r>
              <w:rPr>
                <w:rFonts w:ascii="Times New Roman" w:hAnsi="Times New Roman"/>
                <w:sz w:val="21"/>
                <w:szCs w:val="21"/>
              </w:rPr>
              <w:t>супруга (супруг), состоящая (состоящий) на день гибели (смерти) погибшего (умершего) в браке с ним;</w:t>
            </w:r>
          </w:p>
          <w:p>
            <w:pPr>
              <w:pStyle w:val="Normal"/>
              <w:spacing w:before="0" w:after="0"/>
              <w:rPr>
                <w:rFonts w:ascii="Times New Roman" w:hAnsi="Times New Roman"/>
                <w:sz w:val="21"/>
                <w:szCs w:val="21"/>
              </w:rPr>
            </w:pPr>
            <w:r>
              <w:rPr>
                <w:rFonts w:ascii="Times New Roman" w:hAnsi="Times New Roman"/>
                <w:sz w:val="21"/>
                <w:szCs w:val="21"/>
              </w:rPr>
              <w:t>родители погибшего (умершего);</w:t>
            </w:r>
          </w:p>
          <w:p>
            <w:pPr>
              <w:pStyle w:val="Normal"/>
              <w:spacing w:before="0" w:after="0"/>
              <w:rPr>
                <w:rFonts w:ascii="Times New Roman" w:hAnsi="Times New Roman"/>
                <w:sz w:val="21"/>
                <w:szCs w:val="21"/>
              </w:rPr>
            </w:pPr>
            <w:r>
              <w:rPr>
                <w:rFonts w:ascii="Times New Roman" w:hAnsi="Times New Roman"/>
                <w:sz w:val="21"/>
                <w:szCs w:val="21"/>
              </w:rPr>
              <w:t>дети погибшего (умершего);</w:t>
            </w:r>
          </w:p>
          <w:p>
            <w:pPr>
              <w:pStyle w:val="Normal"/>
              <w:spacing w:before="0" w:after="0"/>
              <w:rPr>
                <w:rFonts w:ascii="Times New Roman" w:hAnsi="Times New Roman"/>
                <w:sz w:val="21"/>
                <w:szCs w:val="21"/>
              </w:rPr>
            </w:pPr>
            <w:r>
              <w:rPr>
                <w:rFonts w:ascii="Times New Roman" w:hAnsi="Times New Roman"/>
                <w:sz w:val="21"/>
                <w:szCs w:val="21"/>
              </w:rPr>
              <w:t>лица, осуществлявшие в отношении погибшего (умершего) обязанности опекуна (попечителя) до достижения погибшим (умершим) совершеннолетия, в том числе на возмездной основе;</w:t>
            </w:r>
          </w:p>
          <w:p>
            <w:pPr>
              <w:pStyle w:val="Normal"/>
              <w:spacing w:before="0" w:after="0"/>
              <w:rPr>
                <w:rFonts w:ascii="Times New Roman" w:hAnsi="Times New Roman"/>
                <w:sz w:val="21"/>
                <w:szCs w:val="21"/>
              </w:rPr>
            </w:pPr>
            <w:r>
              <w:rPr>
                <w:rFonts w:ascii="Times New Roman" w:hAnsi="Times New Roman"/>
                <w:sz w:val="21"/>
                <w:szCs w:val="21"/>
              </w:rPr>
              <w:t>лица, право которых признано решением суда, в том числе лица, признанные по решению суда фактически воспитывавшими и содержавшими погибшего (умершего) в течение не менее пяти лет до достижения им совершеннолетия.</w:t>
            </w:r>
          </w:p>
        </w:tc>
        <w:tc>
          <w:tcPr>
            <w:tcW w:w="2693" w:type="dxa"/>
            <w:tcBorders>
              <w:top w:val="nil"/>
            </w:tcBorders>
            <w:shd w:fill="auto" w:val="clear"/>
          </w:tcPr>
          <w:p>
            <w:pPr>
              <w:pStyle w:val="Normal"/>
              <w:spacing w:before="0" w:after="0"/>
              <w:rPr>
                <w:rFonts w:ascii="Times New Roman" w:hAnsi="Times New Roman"/>
                <w:sz w:val="21"/>
                <w:szCs w:val="21"/>
              </w:rPr>
            </w:pPr>
            <w:r>
              <w:rPr>
                <w:rFonts w:ascii="Times New Roman" w:hAnsi="Times New Roman"/>
                <w:sz w:val="21"/>
                <w:szCs w:val="21"/>
              </w:rPr>
              <w:t>Единовременно, срок прекращения действия меры не установлен</w:t>
            </w:r>
          </w:p>
        </w:tc>
        <w:tc>
          <w:tcPr>
            <w:tcW w:w="3544" w:type="dxa"/>
            <w:tcBorders>
              <w:top w:val="nil"/>
            </w:tcBorders>
            <w:shd w:fill="auto" w:val="clear"/>
          </w:tcPr>
          <w:p>
            <w:pPr>
              <w:pStyle w:val="Normal"/>
              <w:spacing w:before="0" w:after="0"/>
              <w:rPr>
                <w:rFonts w:ascii="Times New Roman" w:hAnsi="Times New Roman"/>
                <w:sz w:val="21"/>
                <w:szCs w:val="21"/>
              </w:rPr>
            </w:pPr>
            <w:r>
              <w:rPr>
                <w:rFonts w:eastAsia="Calibri" w:ascii="Times New Roman" w:hAnsi="Times New Roman"/>
                <w:spacing w:val="-4"/>
                <w:sz w:val="21"/>
                <w:szCs w:val="21"/>
              </w:rPr>
              <w:t>На территории всех муниципальных образований</w:t>
            </w:r>
          </w:p>
        </w:tc>
        <w:tc>
          <w:tcPr>
            <w:tcW w:w="2978" w:type="dxa"/>
            <w:tcBorders>
              <w:top w:val="nil"/>
            </w:tcBorders>
            <w:shd w:fill="auto" w:val="clear"/>
          </w:tcPr>
          <w:p>
            <w:pPr>
              <w:pStyle w:val="Normal"/>
              <w:spacing w:before="0" w:after="0"/>
              <w:rPr>
                <w:rFonts w:ascii="Times New Roman" w:hAnsi="Times New Roman"/>
                <w:sz w:val="21"/>
                <w:szCs w:val="21"/>
              </w:rPr>
            </w:pPr>
            <w:r>
              <w:rPr>
                <w:rFonts w:eastAsia="Calibri" w:ascii="Times New Roman" w:hAnsi="Times New Roman"/>
                <w:sz w:val="21"/>
                <w:szCs w:val="21"/>
              </w:rPr>
              <w:t>Сведения о погибших (умерших), чьи члены семьи (родственники) имеют право на получение материальной помощи, направляются в Министерство труда и социального развития Пермского края Министерством территориальной безопасности Пермского края;</w:t>
            </w:r>
          </w:p>
          <w:p>
            <w:pPr>
              <w:pStyle w:val="Normal"/>
              <w:spacing w:before="0" w:after="0"/>
              <w:rPr>
                <w:rFonts w:ascii="Times New Roman" w:hAnsi="Times New Roman"/>
                <w:sz w:val="21"/>
                <w:szCs w:val="21"/>
              </w:rPr>
            </w:pPr>
            <w:r>
              <w:rPr>
                <w:rFonts w:eastAsia="Calibri" w:ascii="Times New Roman" w:hAnsi="Times New Roman"/>
                <w:sz w:val="21"/>
                <w:szCs w:val="21"/>
              </w:rPr>
              <w:t>неполучение аналогичной выплаты за счет средств бюджетом иных субъектов Российской Федерации</w:t>
            </w:r>
          </w:p>
        </w:tc>
      </w:tr>
      <w:tr>
        <w:trPr>
          <w:trHeight w:val="483" w:hRule="atLeast"/>
        </w:trPr>
        <w:tc>
          <w:tcPr>
            <w:tcW w:w="3085" w:type="dxa"/>
            <w:tcBorders/>
            <w:shd w:fill="auto" w:val="clear"/>
          </w:tcPr>
          <w:p>
            <w:pPr>
              <w:pStyle w:val="Normal"/>
              <w:spacing w:before="0" w:after="0"/>
              <w:rPr>
                <w:rFonts w:ascii="Times New Roman" w:hAnsi="Times New Roman"/>
                <w:sz w:val="21"/>
                <w:szCs w:val="21"/>
              </w:rPr>
            </w:pPr>
            <w:r>
              <w:rPr>
                <w:rFonts w:eastAsia="Calibri" w:ascii="Times New Roman" w:hAnsi="Times New Roman"/>
                <w:b/>
                <w:sz w:val="21"/>
                <w:szCs w:val="21"/>
              </w:rPr>
              <w:t>4. Бесплатное предоставление социальных услуг в форме соцобслуживания на дому</w:t>
            </w:r>
          </w:p>
        </w:tc>
        <w:tc>
          <w:tcPr>
            <w:tcW w:w="2976" w:type="dxa"/>
            <w:tcBorders/>
            <w:shd w:fill="auto" w:val="clear"/>
          </w:tcPr>
          <w:p>
            <w:pPr>
              <w:pStyle w:val="Normal"/>
              <w:spacing w:before="0" w:after="0"/>
              <w:rPr>
                <w:rFonts w:ascii="Times New Roman" w:hAnsi="Times New Roman"/>
                <w:sz w:val="21"/>
                <w:szCs w:val="21"/>
              </w:rPr>
            </w:pPr>
            <w:r>
              <w:rPr>
                <w:rFonts w:eastAsia="Calibri" w:ascii="Times New Roman" w:hAnsi="Times New Roman"/>
                <w:sz w:val="21"/>
                <w:szCs w:val="21"/>
              </w:rPr>
              <w:t>- ветераны СВО всех категорий с инвалидностью</w:t>
            </w:r>
          </w:p>
        </w:tc>
        <w:tc>
          <w:tcPr>
            <w:tcW w:w="2693" w:type="dxa"/>
            <w:tcBorders/>
            <w:shd w:fill="auto" w:val="clear"/>
          </w:tcPr>
          <w:p>
            <w:pPr>
              <w:pStyle w:val="Normal"/>
              <w:spacing w:before="0" w:after="0"/>
              <w:rPr>
                <w:rFonts w:ascii="Times New Roman" w:hAnsi="Times New Roman"/>
                <w:sz w:val="21"/>
                <w:szCs w:val="21"/>
              </w:rPr>
            </w:pPr>
            <w:r>
              <w:rPr>
                <w:rFonts w:eastAsia="Calibri" w:ascii="Times New Roman" w:hAnsi="Times New Roman"/>
                <w:sz w:val="21"/>
                <w:szCs w:val="21"/>
              </w:rPr>
              <w:t>В течение 1 года после возвращения с СВО</w:t>
            </w:r>
          </w:p>
        </w:tc>
        <w:tc>
          <w:tcPr>
            <w:tcW w:w="3544" w:type="dxa"/>
            <w:tcBorders/>
            <w:shd w:fill="auto" w:val="clear"/>
          </w:tcPr>
          <w:p>
            <w:pPr>
              <w:pStyle w:val="Normal"/>
              <w:spacing w:before="0" w:after="0"/>
              <w:rPr>
                <w:rFonts w:ascii="Times New Roman" w:hAnsi="Times New Roman"/>
                <w:sz w:val="21"/>
                <w:szCs w:val="21"/>
              </w:rPr>
            </w:pPr>
            <w:r>
              <w:rPr>
                <w:rFonts w:eastAsia="Calibri" w:ascii="Times New Roman" w:hAnsi="Times New Roman"/>
                <w:spacing w:val="-4"/>
                <w:sz w:val="21"/>
                <w:szCs w:val="21"/>
              </w:rPr>
              <w:t>На территории всех муниципальных образований</w:t>
            </w:r>
          </w:p>
        </w:tc>
        <w:tc>
          <w:tcPr>
            <w:tcW w:w="2978" w:type="dxa"/>
            <w:tcBorders/>
            <w:shd w:fill="auto" w:val="clear"/>
          </w:tcPr>
          <w:p>
            <w:pPr>
              <w:pStyle w:val="Normal"/>
              <w:spacing w:lineRule="exact" w:line="238" w:before="0" w:after="0"/>
              <w:rPr>
                <w:rFonts w:ascii="Times New Roman" w:hAnsi="Times New Roman"/>
                <w:sz w:val="21"/>
                <w:szCs w:val="21"/>
              </w:rPr>
            </w:pPr>
            <w:r>
              <w:rPr>
                <w:rFonts w:ascii="Times New Roman" w:hAnsi="Times New Roman"/>
                <w:spacing w:val="-4"/>
                <w:sz w:val="21"/>
                <w:szCs w:val="21"/>
              </w:rPr>
              <w:t>- наличие ИПРА</w:t>
            </w:r>
          </w:p>
          <w:p>
            <w:pPr>
              <w:pStyle w:val="Normal"/>
              <w:spacing w:lineRule="exact" w:line="238" w:before="0" w:after="0"/>
              <w:rPr>
                <w:rFonts w:ascii="Times New Roman" w:hAnsi="Times New Roman"/>
                <w:sz w:val="21"/>
                <w:szCs w:val="21"/>
              </w:rPr>
            </w:pPr>
            <w:r>
              <w:rPr>
                <w:rFonts w:ascii="Times New Roman" w:hAnsi="Times New Roman"/>
                <w:color w:val="000000"/>
                <w:spacing w:val="-4"/>
                <w:sz w:val="21"/>
                <w:szCs w:val="21"/>
              </w:rPr>
              <w:t>- наличие удостоверения ветерана боевых действий</w:t>
            </w:r>
          </w:p>
        </w:tc>
      </w:tr>
      <w:tr>
        <w:trPr>
          <w:trHeight w:val="505" w:hRule="atLeast"/>
        </w:trPr>
        <w:tc>
          <w:tcPr>
            <w:tcW w:w="3085" w:type="dxa"/>
            <w:vMerge w:val="restart"/>
            <w:tcBorders/>
            <w:shd w:fill="auto" w:val="clear"/>
          </w:tcPr>
          <w:p>
            <w:pPr>
              <w:pStyle w:val="Normal"/>
              <w:spacing w:before="0" w:after="0"/>
              <w:rPr>
                <w:rFonts w:ascii="Times New Roman" w:hAnsi="Times New Roman"/>
                <w:sz w:val="21"/>
                <w:szCs w:val="21"/>
              </w:rPr>
            </w:pPr>
            <w:r>
              <w:rPr>
                <w:rFonts w:eastAsia="Calibri" w:ascii="Times New Roman" w:hAnsi="Times New Roman"/>
                <w:b/>
                <w:sz w:val="21"/>
                <w:szCs w:val="21"/>
              </w:rPr>
              <w:t xml:space="preserve">5. Профессиональное обучение и дополнительное образование, а также </w:t>
            </w:r>
            <w:r>
              <w:rPr>
                <w:rFonts w:eastAsia="Calibri" w:ascii="Times New Roman" w:hAnsi="Times New Roman"/>
                <w:b/>
                <w:spacing w:val="-4"/>
                <w:sz w:val="21"/>
                <w:szCs w:val="21"/>
              </w:rPr>
              <w:t>содействие в трудоустройстве</w:t>
            </w:r>
          </w:p>
        </w:tc>
        <w:tc>
          <w:tcPr>
            <w:tcW w:w="2976" w:type="dxa"/>
            <w:tcBorders/>
            <w:shd w:fill="auto" w:val="clear"/>
          </w:tcPr>
          <w:p>
            <w:pPr>
              <w:pStyle w:val="Normal"/>
              <w:spacing w:before="0" w:after="0"/>
              <w:rPr>
                <w:rFonts w:ascii="Times New Roman" w:hAnsi="Times New Roman"/>
                <w:sz w:val="21"/>
                <w:szCs w:val="21"/>
              </w:rPr>
            </w:pPr>
            <w:r>
              <w:rPr>
                <w:rFonts w:eastAsia="Calibri" w:ascii="Times New Roman" w:hAnsi="Times New Roman"/>
                <w:sz w:val="21"/>
                <w:szCs w:val="21"/>
              </w:rPr>
              <w:t>- ветераны СВО всех категорий</w:t>
            </w:r>
          </w:p>
        </w:tc>
        <w:tc>
          <w:tcPr>
            <w:tcW w:w="2693" w:type="dxa"/>
            <w:tcBorders/>
            <w:shd w:fill="auto" w:val="clear"/>
          </w:tcPr>
          <w:p>
            <w:pPr>
              <w:pStyle w:val="Normal"/>
              <w:spacing w:lineRule="exact" w:line="238" w:before="0" w:after="0"/>
              <w:rPr>
                <w:rFonts w:ascii="Times New Roman" w:hAnsi="Times New Roman"/>
                <w:sz w:val="21"/>
                <w:szCs w:val="21"/>
              </w:rPr>
            </w:pPr>
            <w:r>
              <w:rPr>
                <w:rFonts w:eastAsia="Calibri" w:ascii="Times New Roman" w:hAnsi="Times New Roman"/>
                <w:sz w:val="21"/>
                <w:szCs w:val="21"/>
              </w:rPr>
              <w:t>- бессрочно</w:t>
            </w:r>
          </w:p>
        </w:tc>
        <w:tc>
          <w:tcPr>
            <w:tcW w:w="3544" w:type="dxa"/>
            <w:vMerge w:val="restart"/>
            <w:tcBorders/>
            <w:shd w:fill="auto" w:val="clear"/>
          </w:tcPr>
          <w:p>
            <w:pPr>
              <w:pStyle w:val="Normal"/>
              <w:spacing w:lineRule="exact" w:line="238" w:before="0" w:after="0"/>
              <w:rPr>
                <w:rFonts w:ascii="Times New Roman" w:hAnsi="Times New Roman"/>
                <w:sz w:val="21"/>
                <w:szCs w:val="21"/>
              </w:rPr>
            </w:pPr>
            <w:r>
              <w:rPr>
                <w:rFonts w:eastAsia="Calibri" w:ascii="Times New Roman" w:hAnsi="Times New Roman"/>
                <w:spacing w:val="-4"/>
                <w:sz w:val="21"/>
                <w:szCs w:val="21"/>
              </w:rPr>
              <w:t>На территории всех муниципальных образований</w:t>
            </w:r>
          </w:p>
        </w:tc>
        <w:tc>
          <w:tcPr>
            <w:tcW w:w="2978" w:type="dxa"/>
            <w:tcBorders/>
            <w:shd w:fill="auto" w:val="clear"/>
          </w:tcPr>
          <w:p>
            <w:pPr>
              <w:pStyle w:val="Normal"/>
              <w:spacing w:lineRule="exact" w:line="238" w:before="0" w:after="0"/>
              <w:rPr>
                <w:rFonts w:ascii="Times New Roman" w:hAnsi="Times New Roman"/>
                <w:sz w:val="21"/>
                <w:szCs w:val="21"/>
              </w:rPr>
            </w:pPr>
            <w:r>
              <w:rPr>
                <w:rFonts w:eastAsia="Calibri" w:ascii="Times New Roman" w:hAnsi="Times New Roman"/>
                <w:spacing w:val="-4"/>
                <w:sz w:val="21"/>
                <w:szCs w:val="21"/>
              </w:rPr>
              <w:t>Меры поддержки в рамках НП «Кадры» (Приказ Минтруда от 12 марта 2025 г. № 104) - удостоверение ветерана боевых действий, выданное после 24 февраля 2022 г.</w:t>
            </w:r>
          </w:p>
        </w:tc>
      </w:tr>
      <w:tr>
        <w:trPr>
          <w:trHeight w:val="505" w:hRule="atLeast"/>
        </w:trPr>
        <w:tc>
          <w:tcPr>
            <w:tcW w:w="3085" w:type="dxa"/>
            <w:vMerge w:val="continue"/>
            <w:tcBorders/>
            <w:shd w:fill="auto" w:val="clear"/>
          </w:tcPr>
          <w:p>
            <w:pPr>
              <w:pStyle w:val="Normal"/>
              <w:spacing w:before="0" w:after="0"/>
              <w:rPr>
                <w:rFonts w:ascii="Times New Roman" w:hAnsi="Times New Roman"/>
                <w:b/>
                <w:b/>
                <w:sz w:val="21"/>
                <w:szCs w:val="21"/>
              </w:rPr>
            </w:pPr>
            <w:r>
              <w:rPr>
                <w:rFonts w:ascii="Times New Roman" w:hAnsi="Times New Roman"/>
                <w:b/>
                <w:sz w:val="21"/>
                <w:szCs w:val="21"/>
              </w:rPr>
            </w:r>
          </w:p>
        </w:tc>
        <w:tc>
          <w:tcPr>
            <w:tcW w:w="2976" w:type="dxa"/>
            <w:tcBorders/>
            <w:shd w:fill="auto" w:val="clear"/>
          </w:tcPr>
          <w:p>
            <w:pPr>
              <w:pStyle w:val="Normal"/>
              <w:spacing w:before="0" w:after="0"/>
              <w:rPr>
                <w:rFonts w:ascii="Times New Roman" w:hAnsi="Times New Roman"/>
                <w:sz w:val="21"/>
                <w:szCs w:val="21"/>
              </w:rPr>
            </w:pPr>
            <w:r>
              <w:rPr>
                <w:rFonts w:eastAsia="Calibri" w:ascii="Times New Roman" w:hAnsi="Times New Roman"/>
                <w:sz w:val="21"/>
                <w:szCs w:val="21"/>
              </w:rPr>
              <w:t>- безработные члены семей участников СВО</w:t>
            </w:r>
          </w:p>
        </w:tc>
        <w:tc>
          <w:tcPr>
            <w:tcW w:w="2693" w:type="dxa"/>
            <w:tcBorders/>
            <w:shd w:fill="auto" w:val="clear"/>
          </w:tcPr>
          <w:p>
            <w:pPr>
              <w:pStyle w:val="Normal"/>
              <w:spacing w:lineRule="exact" w:line="238" w:before="0" w:after="0"/>
              <w:rPr>
                <w:rFonts w:ascii="Times New Roman" w:hAnsi="Times New Roman"/>
                <w:sz w:val="21"/>
                <w:szCs w:val="21"/>
              </w:rPr>
            </w:pPr>
            <w:r>
              <w:rPr>
                <w:rFonts w:eastAsia="Calibri" w:ascii="Times New Roman" w:hAnsi="Times New Roman"/>
                <w:sz w:val="21"/>
                <w:szCs w:val="21"/>
              </w:rPr>
              <w:t>-бессрочно</w:t>
            </w:r>
          </w:p>
        </w:tc>
        <w:tc>
          <w:tcPr>
            <w:tcW w:w="3544" w:type="dxa"/>
            <w:vMerge w:val="continue"/>
            <w:tcBorders/>
            <w:shd w:fill="auto" w:val="clear"/>
          </w:tcPr>
          <w:p>
            <w:pPr>
              <w:pStyle w:val="Normal"/>
              <w:spacing w:before="0" w:after="0"/>
              <w:rPr>
                <w:rFonts w:ascii="Times New Roman" w:hAnsi="Times New Roman"/>
                <w:spacing w:val="-4"/>
                <w:sz w:val="21"/>
                <w:szCs w:val="21"/>
              </w:rPr>
            </w:pPr>
            <w:r>
              <w:rPr>
                <w:rFonts w:ascii="Times New Roman" w:hAnsi="Times New Roman"/>
                <w:spacing w:val="-4"/>
                <w:sz w:val="21"/>
                <w:szCs w:val="21"/>
              </w:rPr>
            </w:r>
          </w:p>
        </w:tc>
        <w:tc>
          <w:tcPr>
            <w:tcW w:w="2978" w:type="dxa"/>
            <w:tcBorders/>
            <w:shd w:fill="auto" w:val="clear"/>
          </w:tcPr>
          <w:p>
            <w:pPr>
              <w:pStyle w:val="Normal"/>
              <w:spacing w:lineRule="exact" w:line="238" w:before="0" w:after="0"/>
              <w:rPr>
                <w:rFonts w:ascii="Times New Roman" w:hAnsi="Times New Roman"/>
                <w:sz w:val="21"/>
                <w:szCs w:val="21"/>
              </w:rPr>
            </w:pPr>
            <w:r>
              <w:rPr>
                <w:rFonts w:eastAsia="Calibri" w:ascii="Times New Roman" w:hAnsi="Times New Roman"/>
                <w:spacing w:val="-4"/>
                <w:sz w:val="21"/>
                <w:szCs w:val="21"/>
              </w:rPr>
              <w:t xml:space="preserve">Меры поддержки в рамках НП «Кадры» (Приказ Минтруда от 12 марта 2025 г. № 104) </w:t>
            </w:r>
            <w:r>
              <w:rPr>
                <w:rFonts w:eastAsia="Calibri" w:ascii="Times New Roman" w:hAnsi="Times New Roman"/>
                <w:sz w:val="21"/>
                <w:szCs w:val="21"/>
              </w:rPr>
              <w:t>- удостоверение члена семьи погибшего (умершего) ветерана боевых действий, выданное после 24 февраля 2022 г.</w:t>
            </w:r>
          </w:p>
        </w:tc>
      </w:tr>
      <w:tr>
        <w:trPr>
          <w:trHeight w:val="312" w:hRule="atLeast"/>
        </w:trPr>
        <w:tc>
          <w:tcPr>
            <w:tcW w:w="3085" w:type="dxa"/>
            <w:tcBorders/>
            <w:shd w:fill="auto" w:val="clear"/>
          </w:tcPr>
          <w:p>
            <w:pPr>
              <w:pStyle w:val="Normal"/>
              <w:spacing w:before="0" w:after="0"/>
              <w:rPr>
                <w:rFonts w:ascii="Times New Roman" w:hAnsi="Times New Roman"/>
                <w:sz w:val="21"/>
                <w:szCs w:val="21"/>
              </w:rPr>
            </w:pPr>
            <w:r>
              <w:rPr>
                <w:rFonts w:eastAsia="Calibri" w:ascii="Times New Roman" w:hAnsi="Times New Roman"/>
                <w:b/>
                <w:sz w:val="21"/>
                <w:szCs w:val="21"/>
              </w:rPr>
              <w:t>6. Материальная помощь на период нахождения члена семьи на СВО, в размере</w:t>
            </w:r>
          </w:p>
          <w:p>
            <w:pPr>
              <w:pStyle w:val="Normal"/>
              <w:spacing w:before="0" w:after="0"/>
              <w:rPr>
                <w:rFonts w:ascii="Times New Roman" w:hAnsi="Times New Roman"/>
                <w:sz w:val="21"/>
                <w:szCs w:val="21"/>
              </w:rPr>
            </w:pPr>
            <w:r>
              <w:rPr>
                <w:rFonts w:eastAsia="Calibri" w:ascii="Times New Roman" w:hAnsi="Times New Roman"/>
                <w:b/>
                <w:sz w:val="21"/>
                <w:szCs w:val="21"/>
              </w:rPr>
              <w:t>15 тыс. руб. на каждого ребенка</w:t>
            </w:r>
          </w:p>
        </w:tc>
        <w:tc>
          <w:tcPr>
            <w:tcW w:w="2976" w:type="dxa"/>
            <w:tcBorders/>
            <w:shd w:fill="auto" w:val="clear"/>
          </w:tcPr>
          <w:p>
            <w:pPr>
              <w:pStyle w:val="Normal"/>
              <w:spacing w:lineRule="exact" w:line="238" w:before="0" w:after="0"/>
              <w:rPr>
                <w:rFonts w:ascii="Times New Roman" w:hAnsi="Times New Roman"/>
                <w:sz w:val="21"/>
                <w:szCs w:val="21"/>
              </w:rPr>
            </w:pPr>
            <w:r>
              <w:rPr>
                <w:rFonts w:eastAsia="Calibri" w:ascii="Times New Roman" w:hAnsi="Times New Roman"/>
                <w:sz w:val="21"/>
                <w:szCs w:val="21"/>
              </w:rPr>
              <w:t>несовершеннолетние дети и дети в возрасте</w:t>
            </w:r>
          </w:p>
          <w:p>
            <w:pPr>
              <w:pStyle w:val="Normal"/>
              <w:spacing w:lineRule="exact" w:line="238" w:before="0" w:after="0"/>
              <w:rPr>
                <w:rFonts w:ascii="Times New Roman" w:hAnsi="Times New Roman"/>
                <w:sz w:val="21"/>
                <w:szCs w:val="21"/>
              </w:rPr>
            </w:pPr>
            <w:r>
              <w:rPr>
                <w:rFonts w:eastAsia="Calibri" w:ascii="Times New Roman" w:hAnsi="Times New Roman"/>
                <w:sz w:val="21"/>
                <w:szCs w:val="21"/>
              </w:rPr>
              <w:t>до 23 лет, обучающиеся в образовательных организациях по очной форме обучения, в отношении которых родителем является участник СВО</w:t>
            </w:r>
          </w:p>
        </w:tc>
        <w:tc>
          <w:tcPr>
            <w:tcW w:w="2693" w:type="dxa"/>
            <w:tcBorders/>
            <w:shd w:fill="auto" w:val="clear"/>
          </w:tcPr>
          <w:p>
            <w:pPr>
              <w:pStyle w:val="Normal"/>
              <w:spacing w:lineRule="exact" w:line="238" w:before="0" w:after="0"/>
              <w:rPr>
                <w:rFonts w:ascii="Times New Roman" w:hAnsi="Times New Roman"/>
                <w:sz w:val="21"/>
                <w:szCs w:val="21"/>
              </w:rPr>
            </w:pPr>
            <w:r>
              <w:rPr>
                <w:rFonts w:eastAsia="Calibri" w:ascii="Times New Roman" w:hAnsi="Times New Roman"/>
                <w:sz w:val="21"/>
                <w:szCs w:val="21"/>
              </w:rPr>
              <w:t>однократно</w:t>
            </w:r>
          </w:p>
        </w:tc>
        <w:tc>
          <w:tcPr>
            <w:tcW w:w="3544" w:type="dxa"/>
            <w:tcBorders/>
            <w:shd w:fill="auto" w:val="clear"/>
          </w:tcPr>
          <w:p>
            <w:pPr>
              <w:pStyle w:val="Normal"/>
              <w:spacing w:before="0" w:after="0"/>
              <w:rPr>
                <w:rFonts w:ascii="Times New Roman" w:hAnsi="Times New Roman"/>
                <w:sz w:val="21"/>
                <w:szCs w:val="21"/>
              </w:rPr>
            </w:pPr>
            <w:r>
              <w:rPr>
                <w:rFonts w:eastAsia="Calibri" w:ascii="Times New Roman" w:hAnsi="Times New Roman"/>
                <w:sz w:val="21"/>
                <w:szCs w:val="21"/>
              </w:rPr>
              <w:t>Выплаты предоставляются во всех муниципальных образованиях</w:t>
            </w:r>
          </w:p>
        </w:tc>
        <w:tc>
          <w:tcPr>
            <w:tcW w:w="2978" w:type="dxa"/>
            <w:tcBorders/>
            <w:shd w:fill="auto" w:val="clear"/>
          </w:tcPr>
          <w:p>
            <w:pPr>
              <w:pStyle w:val="Normal"/>
              <w:spacing w:before="0" w:after="0"/>
              <w:rPr>
                <w:rFonts w:ascii="Times New Roman" w:hAnsi="Times New Roman"/>
                <w:sz w:val="21"/>
                <w:szCs w:val="21"/>
              </w:rPr>
            </w:pPr>
            <w:r>
              <w:rPr>
                <w:rFonts w:ascii="Times New Roman" w:hAnsi="Times New Roman"/>
                <w:sz w:val="21"/>
                <w:szCs w:val="21"/>
              </w:rPr>
              <w:t>наличие справки об участии в СВО у одного из членов семьи</w:t>
            </w:r>
          </w:p>
        </w:tc>
      </w:tr>
      <w:tr>
        <w:trPr>
          <w:trHeight w:val="312" w:hRule="atLeast"/>
        </w:trPr>
        <w:tc>
          <w:tcPr>
            <w:tcW w:w="3085" w:type="dxa"/>
            <w:tcBorders>
              <w:top w:val="nil"/>
            </w:tcBorders>
            <w:shd w:fill="auto" w:val="clear"/>
          </w:tcPr>
          <w:p>
            <w:pPr>
              <w:pStyle w:val="Normal"/>
              <w:spacing w:before="0" w:after="0"/>
              <w:rPr>
                <w:rFonts w:ascii="Times New Roman" w:hAnsi="Times New Roman"/>
                <w:sz w:val="21"/>
                <w:szCs w:val="21"/>
              </w:rPr>
            </w:pPr>
            <w:r>
              <w:rPr>
                <w:rFonts w:eastAsia="Calibri" w:ascii="Times New Roman" w:hAnsi="Times New Roman"/>
                <w:b/>
                <w:sz w:val="21"/>
                <w:szCs w:val="21"/>
              </w:rPr>
              <w:t>7. Материальная помощь на обеспечение твердым топливом (дровами) в размере до 15 тыс. рублей</w:t>
            </w:r>
          </w:p>
        </w:tc>
        <w:tc>
          <w:tcPr>
            <w:tcW w:w="2976" w:type="dxa"/>
            <w:tcBorders>
              <w:top w:val="nil"/>
            </w:tcBorders>
            <w:shd w:fill="auto" w:val="clear"/>
          </w:tcPr>
          <w:p>
            <w:pPr>
              <w:pStyle w:val="Normal"/>
              <w:spacing w:lineRule="exact" w:line="238" w:before="0" w:after="0"/>
              <w:rPr>
                <w:rFonts w:ascii="Times New Roman" w:hAnsi="Times New Roman"/>
                <w:sz w:val="21"/>
                <w:szCs w:val="21"/>
              </w:rPr>
            </w:pPr>
            <w:r>
              <w:rPr>
                <w:rFonts w:ascii="Times New Roman" w:hAnsi="Times New Roman"/>
                <w:sz w:val="21"/>
                <w:szCs w:val="21"/>
              </w:rPr>
              <w:t>родители, супруги, дети участников СВО, проживающие в домах с печным отоплением</w:t>
            </w:r>
          </w:p>
        </w:tc>
        <w:tc>
          <w:tcPr>
            <w:tcW w:w="2693" w:type="dxa"/>
            <w:tcBorders>
              <w:top w:val="nil"/>
            </w:tcBorders>
            <w:shd w:fill="auto" w:val="clear"/>
          </w:tcPr>
          <w:p>
            <w:pPr>
              <w:pStyle w:val="Normal"/>
              <w:spacing w:lineRule="exact" w:line="238" w:before="0" w:after="0"/>
              <w:rPr>
                <w:rFonts w:ascii="Times New Roman" w:hAnsi="Times New Roman"/>
                <w:sz w:val="21"/>
                <w:szCs w:val="21"/>
              </w:rPr>
            </w:pPr>
            <w:r>
              <w:rPr>
                <w:rFonts w:ascii="Times New Roman" w:hAnsi="Times New Roman"/>
                <w:sz w:val="21"/>
                <w:szCs w:val="21"/>
              </w:rPr>
              <w:t>не более одного раза в год в период участи в СВО</w:t>
            </w:r>
          </w:p>
        </w:tc>
        <w:tc>
          <w:tcPr>
            <w:tcW w:w="3544" w:type="dxa"/>
            <w:tcBorders>
              <w:top w:val="nil"/>
            </w:tcBorders>
            <w:shd w:fill="auto" w:val="clear"/>
          </w:tcPr>
          <w:p>
            <w:pPr>
              <w:pStyle w:val="Normal"/>
              <w:spacing w:before="0" w:after="0"/>
              <w:rPr>
                <w:rFonts w:ascii="Times New Roman" w:hAnsi="Times New Roman"/>
                <w:sz w:val="21"/>
                <w:szCs w:val="21"/>
              </w:rPr>
            </w:pPr>
            <w:r>
              <w:rPr>
                <w:rFonts w:eastAsia="Calibri" w:ascii="Times New Roman" w:hAnsi="Times New Roman"/>
                <w:sz w:val="21"/>
                <w:szCs w:val="21"/>
              </w:rPr>
              <w:t>Выплаты предоставляются во всех муниципальных образованиях</w:t>
            </w:r>
          </w:p>
        </w:tc>
        <w:tc>
          <w:tcPr>
            <w:tcW w:w="2978" w:type="dxa"/>
            <w:tcBorders>
              <w:top w:val="nil"/>
            </w:tcBorders>
            <w:shd w:fill="auto" w:val="clear"/>
          </w:tcPr>
          <w:p>
            <w:pPr>
              <w:pStyle w:val="Normal"/>
              <w:spacing w:before="0" w:after="0"/>
              <w:rPr>
                <w:rFonts w:ascii="Times New Roman" w:hAnsi="Times New Roman"/>
                <w:sz w:val="21"/>
                <w:szCs w:val="21"/>
              </w:rPr>
            </w:pPr>
            <w:r>
              <w:rPr>
                <w:rFonts w:ascii="Times New Roman" w:hAnsi="Times New Roman"/>
                <w:sz w:val="21"/>
                <w:szCs w:val="21"/>
              </w:rPr>
              <w:t>наличие справки об участии в СВО у одного из членов семьи</w:t>
            </w:r>
          </w:p>
        </w:tc>
      </w:tr>
      <w:tr>
        <w:trPr>
          <w:trHeight w:val="312" w:hRule="atLeast"/>
        </w:trPr>
        <w:tc>
          <w:tcPr>
            <w:tcW w:w="3085" w:type="dxa"/>
            <w:tcBorders>
              <w:top w:val="nil"/>
            </w:tcBorders>
            <w:shd w:fill="auto" w:val="clear"/>
          </w:tcPr>
          <w:p>
            <w:pPr>
              <w:pStyle w:val="Normal"/>
              <w:spacing w:before="0" w:after="0"/>
              <w:rPr>
                <w:rFonts w:ascii="Times New Roman" w:hAnsi="Times New Roman"/>
                <w:sz w:val="21"/>
                <w:szCs w:val="21"/>
              </w:rPr>
            </w:pPr>
            <w:r>
              <w:rPr>
                <w:rFonts w:eastAsia="Calibri" w:ascii="Times New Roman" w:hAnsi="Times New Roman"/>
                <w:b/>
                <w:sz w:val="21"/>
                <w:szCs w:val="21"/>
              </w:rPr>
              <w:t>8 . Единовременная денежная выплата супруге участника СВО при рождении ребенка в 2024 году в размере 127 994 рублей, в 2025 году в размере 140 154 рубля</w:t>
            </w:r>
          </w:p>
        </w:tc>
        <w:tc>
          <w:tcPr>
            <w:tcW w:w="2976" w:type="dxa"/>
            <w:tcBorders>
              <w:top w:val="nil"/>
            </w:tcBorders>
            <w:shd w:fill="auto" w:val="clear"/>
          </w:tcPr>
          <w:p>
            <w:pPr>
              <w:pStyle w:val="Normal"/>
              <w:spacing w:lineRule="exact" w:line="238" w:before="0" w:after="0"/>
              <w:rPr>
                <w:rFonts w:ascii="Times New Roman" w:hAnsi="Times New Roman"/>
                <w:sz w:val="21"/>
                <w:szCs w:val="21"/>
              </w:rPr>
            </w:pPr>
            <w:r>
              <w:rPr>
                <w:rFonts w:ascii="Times New Roman" w:hAnsi="Times New Roman"/>
                <w:sz w:val="21"/>
                <w:szCs w:val="21"/>
              </w:rPr>
              <w:t>супруга участника СВО</w:t>
            </w:r>
          </w:p>
        </w:tc>
        <w:tc>
          <w:tcPr>
            <w:tcW w:w="2693" w:type="dxa"/>
            <w:tcBorders>
              <w:top w:val="nil"/>
            </w:tcBorders>
            <w:shd w:fill="auto" w:val="clear"/>
          </w:tcPr>
          <w:p>
            <w:pPr>
              <w:pStyle w:val="Normal"/>
              <w:spacing w:lineRule="exact" w:line="238" w:before="0" w:after="0"/>
              <w:rPr>
                <w:rFonts w:ascii="Times New Roman" w:hAnsi="Times New Roman"/>
                <w:sz w:val="21"/>
                <w:szCs w:val="21"/>
              </w:rPr>
            </w:pPr>
            <w:r>
              <w:rPr>
                <w:rFonts w:ascii="Times New Roman" w:hAnsi="Times New Roman"/>
                <w:sz w:val="21"/>
                <w:szCs w:val="21"/>
              </w:rPr>
              <w:t>Единовременно</w:t>
            </w:r>
          </w:p>
        </w:tc>
        <w:tc>
          <w:tcPr>
            <w:tcW w:w="3544" w:type="dxa"/>
            <w:tcBorders>
              <w:top w:val="nil"/>
            </w:tcBorders>
            <w:shd w:fill="auto" w:val="clear"/>
          </w:tcPr>
          <w:p>
            <w:pPr>
              <w:pStyle w:val="Normal"/>
              <w:spacing w:before="0" w:after="0"/>
              <w:rPr>
                <w:rFonts w:ascii="Times New Roman" w:hAnsi="Times New Roman"/>
                <w:sz w:val="21"/>
                <w:szCs w:val="21"/>
              </w:rPr>
            </w:pPr>
            <w:r>
              <w:rPr>
                <w:rFonts w:eastAsia="Calibri" w:ascii="Times New Roman" w:hAnsi="Times New Roman"/>
                <w:sz w:val="21"/>
                <w:szCs w:val="21"/>
              </w:rPr>
              <w:t>Выплаты предоставляются во всех муниципальных образованиях</w:t>
            </w:r>
          </w:p>
        </w:tc>
        <w:tc>
          <w:tcPr>
            <w:tcW w:w="2978" w:type="dxa"/>
            <w:tcBorders>
              <w:top w:val="nil"/>
            </w:tcBorders>
            <w:shd w:fill="auto" w:val="clear"/>
          </w:tcPr>
          <w:p>
            <w:pPr>
              <w:pStyle w:val="Normal"/>
              <w:spacing w:lineRule="exact" w:line="238" w:before="0" w:after="0"/>
              <w:rPr>
                <w:rFonts w:ascii="Times New Roman" w:hAnsi="Times New Roman"/>
                <w:sz w:val="21"/>
                <w:szCs w:val="21"/>
              </w:rPr>
            </w:pPr>
            <w:r>
              <w:rPr>
                <w:rFonts w:ascii="Times New Roman" w:hAnsi="Times New Roman"/>
                <w:sz w:val="21"/>
                <w:szCs w:val="21"/>
              </w:rPr>
              <w:t>1. зарегистрированный брак на дату рождения либо на дату обращения за выплатой;</w:t>
            </w:r>
          </w:p>
          <w:p>
            <w:pPr>
              <w:pStyle w:val="Normal"/>
              <w:spacing w:lineRule="exact" w:line="238" w:before="0" w:after="0"/>
              <w:rPr>
                <w:rFonts w:ascii="Times New Roman" w:hAnsi="Times New Roman"/>
                <w:sz w:val="21"/>
                <w:szCs w:val="21"/>
              </w:rPr>
            </w:pPr>
            <w:r>
              <w:rPr>
                <w:rFonts w:ascii="Times New Roman" w:hAnsi="Times New Roman"/>
                <w:sz w:val="21"/>
                <w:szCs w:val="21"/>
              </w:rPr>
              <w:t>2. регистрация рождения ребенка в Пермском крае;</w:t>
            </w:r>
          </w:p>
          <w:p>
            <w:pPr>
              <w:pStyle w:val="Normal"/>
              <w:spacing w:lineRule="exact" w:line="238" w:before="0" w:after="0"/>
              <w:rPr>
                <w:rFonts w:ascii="Times New Roman" w:hAnsi="Times New Roman"/>
                <w:sz w:val="21"/>
                <w:szCs w:val="21"/>
              </w:rPr>
            </w:pPr>
            <w:r>
              <w:rPr>
                <w:rFonts w:ascii="Times New Roman" w:hAnsi="Times New Roman"/>
                <w:sz w:val="21"/>
                <w:szCs w:val="21"/>
              </w:rPr>
              <w:t>3. рождение ребенка в семье участника СВО в период участия отца в СВО либо прекращения участия отца в СВО после 01.03.2023 г. (при рождении ребенка в 2024 году) либо после 01.03.2024 г. (при рождении ребенка в 2025 году).</w:t>
            </w:r>
          </w:p>
        </w:tc>
      </w:tr>
    </w:tbl>
    <w:p>
      <w:pPr>
        <w:pStyle w:val="Normal"/>
        <w:widowControl/>
        <w:suppressAutoHyphens w:val="true"/>
        <w:bidi w:val="0"/>
        <w:spacing w:lineRule="auto" w:line="276" w:before="0" w:after="200"/>
        <w:jc w:val="left"/>
        <w:rPr/>
      </w:pPr>
      <w:r>
        <w:rPr/>
      </w:r>
    </w:p>
    <w:sectPr>
      <w:headerReference w:type="default" r:id="rId2"/>
      <w:type w:val="nextPage"/>
      <w:pgSz w:orient="landscape" w:w="16838" w:h="11906"/>
      <w:pgMar w:left="720" w:right="720" w:header="708" w:top="765" w:footer="0" w:bottom="720"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Open Sans">
    <w:charset w:val="cc"/>
    <w:family w:val="roman"/>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79322415"/>
    </w:sdtPr>
    <w:sdtContent>
      <w:p>
        <w:pPr>
          <w:pStyle w:val="Style24"/>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PAGE </w:instrText>
        </w:r>
        <w:r>
          <w:rPr>
            <w:sz w:val="24"/>
            <w:szCs w:val="24"/>
            <w:rFonts w:cs="Times New Roman" w:ascii="Times New Roman" w:hAnsi="Times New Roman"/>
          </w:rPr>
          <w:fldChar w:fldCharType="separate"/>
        </w:r>
        <w:r>
          <w:rPr>
            <w:sz w:val="24"/>
            <w:szCs w:val="24"/>
            <w:rFonts w:cs="Times New Roman" w:ascii="Times New Roman" w:hAnsi="Times New Roman"/>
          </w:rPr>
          <w:t>5</w:t>
        </w:r>
        <w:r>
          <w:rPr>
            <w:sz w:val="24"/>
            <w:szCs w:val="24"/>
            <w:rFonts w:cs="Times New Roman" w:ascii="Times New Roman" w:hAnsi="Times New Roman"/>
          </w:rPr>
          <w:fldChar w:fldCharType="end"/>
        </w:r>
      </w:p>
    </w:sdtContent>
  </w:sdt>
  <w:p>
    <w:pPr>
      <w:pStyle w:val="Style24"/>
      <w:rPr/>
    </w:pPr>
    <w:r>
      <w:rPr/>
    </w:r>
  </w:p>
</w:hdr>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e30e6b"/>
    <w:rPr>
      <w:color w:val="0000FF" w:themeColor="hyperlink"/>
      <w:u w:val="single"/>
    </w:rPr>
  </w:style>
  <w:style w:type="character" w:styleId="Style15" w:customStyle="1">
    <w:name w:val="Верхний колонтитул Знак"/>
    <w:basedOn w:val="DefaultParagraphFont"/>
    <w:link w:val="a5"/>
    <w:uiPriority w:val="99"/>
    <w:qFormat/>
    <w:rsid w:val="005f124d"/>
    <w:rPr/>
  </w:style>
  <w:style w:type="character" w:styleId="Style16" w:customStyle="1">
    <w:name w:val="Нижний колонтитул Знак"/>
    <w:basedOn w:val="DefaultParagraphFont"/>
    <w:link w:val="a7"/>
    <w:uiPriority w:val="99"/>
    <w:qFormat/>
    <w:rsid w:val="005f124d"/>
    <w:rPr/>
  </w:style>
  <w:style w:type="character" w:styleId="Style17" w:customStyle="1">
    <w:name w:val="Текст выноски Знак"/>
    <w:basedOn w:val="DefaultParagraphFont"/>
    <w:link w:val="a9"/>
    <w:uiPriority w:val="99"/>
    <w:semiHidden/>
    <w:qFormat/>
    <w:rsid w:val="00591a79"/>
    <w:rPr>
      <w:rFonts w:ascii="Tahoma" w:hAnsi="Tahoma" w:cs="Tahoma"/>
      <w:sz w:val="16"/>
      <w:szCs w:val="16"/>
    </w:rPr>
  </w:style>
  <w:style w:type="paragraph" w:styleId="Style18" w:customStyle="1">
    <w:name w:val="Заголовок"/>
    <w:basedOn w:val="Normal"/>
    <w:next w:val="Style19"/>
    <w:qFormat/>
    <w:pPr>
      <w:keepNext w:val="true"/>
      <w:spacing w:before="240" w:after="120"/>
    </w:pPr>
    <w:rPr>
      <w:rFonts w:ascii="Open Sans" w:hAnsi="Open Sans" w:eastAsia="Droid Sans Fallback" w:cs="Lohit Devanagari"/>
      <w:sz w:val="28"/>
      <w:szCs w:val="28"/>
    </w:rPr>
  </w:style>
  <w:style w:type="paragraph" w:styleId="Style19">
    <w:name w:val="Body Text"/>
    <w:basedOn w:val="Normal"/>
    <w:pPr>
      <w:spacing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Default" w:customStyle="1">
    <w:name w:val="Default"/>
    <w:qFormat/>
    <w:rsid w:val="00447fce"/>
    <w:pPr>
      <w:widowControl/>
      <w:bidi w:val="0"/>
      <w:jc w:val="left"/>
    </w:pPr>
    <w:rPr>
      <w:rFonts w:ascii="Times New Roman" w:hAnsi="Times New Roman" w:eastAsia="Calibri" w:cs="Times New Roman"/>
      <w:color w:val="000000"/>
      <w:kern w:val="0"/>
      <w:sz w:val="24"/>
      <w:szCs w:val="24"/>
      <w:lang w:val="ru-RU" w:eastAsia="en-US" w:bidi="ar-SA"/>
    </w:rPr>
  </w:style>
  <w:style w:type="paragraph" w:styleId="Style23" w:customStyle="1">
    <w:name w:val="Колонтитул"/>
    <w:basedOn w:val="Normal"/>
    <w:qFormat/>
    <w:pPr/>
    <w:rPr/>
  </w:style>
  <w:style w:type="paragraph" w:styleId="Style24">
    <w:name w:val="Header"/>
    <w:basedOn w:val="Normal"/>
    <w:link w:val="a4"/>
    <w:uiPriority w:val="99"/>
    <w:unhideWhenUsed/>
    <w:rsid w:val="005f124d"/>
    <w:pPr>
      <w:tabs>
        <w:tab w:val="clear" w:pos="708"/>
        <w:tab w:val="center" w:pos="4677" w:leader="none"/>
        <w:tab w:val="right" w:pos="9355" w:leader="none"/>
      </w:tabs>
      <w:spacing w:lineRule="auto" w:line="240" w:before="0" w:after="0"/>
    </w:pPr>
    <w:rPr/>
  </w:style>
  <w:style w:type="paragraph" w:styleId="Style25">
    <w:name w:val="Footer"/>
    <w:basedOn w:val="Normal"/>
    <w:link w:val="a6"/>
    <w:uiPriority w:val="99"/>
    <w:unhideWhenUsed/>
    <w:rsid w:val="005f124d"/>
    <w:pPr>
      <w:tabs>
        <w:tab w:val="clear" w:pos="708"/>
        <w:tab w:val="center" w:pos="4677" w:leader="none"/>
        <w:tab w:val="right" w:pos="9355" w:leader="none"/>
      </w:tabs>
      <w:spacing w:lineRule="auto" w:line="240" w:before="0" w:after="0"/>
    </w:pPr>
    <w:rPr/>
  </w:style>
  <w:style w:type="paragraph" w:styleId="BalloonText">
    <w:name w:val="Balloon Text"/>
    <w:basedOn w:val="Normal"/>
    <w:link w:val="a8"/>
    <w:uiPriority w:val="99"/>
    <w:semiHidden/>
    <w:unhideWhenUsed/>
    <w:qFormat/>
    <w:rsid w:val="00591a79"/>
    <w:pPr>
      <w:spacing w:lineRule="auto" w:line="240" w:before="0" w:after="0"/>
    </w:pPr>
    <w:rPr>
      <w:rFonts w:ascii="Tahoma" w:hAnsi="Tahoma" w:cs="Tahoma"/>
      <w:sz w:val="16"/>
      <w:szCs w:val="16"/>
    </w:rPr>
  </w:style>
  <w:style w:type="paragraph" w:styleId="Style26" w:customStyle="1">
    <w:name w:val="Содержимое таблицы"/>
    <w:basedOn w:val="Normal"/>
    <w:qFormat/>
    <w:pPr>
      <w:widowControl w:val="false"/>
      <w:suppressLineNumbers/>
    </w:pPr>
    <w:rPr/>
  </w:style>
  <w:style w:type="paragraph" w:styleId="Style27" w:customStyle="1">
    <w:name w:val="Заголовок таблицы"/>
    <w:basedOn w:val="Style26"/>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2">
    <w:name w:val="Table Grid"/>
    <w:basedOn w:val="a1"/>
    <w:uiPriority w:val="59"/>
    <w:rsid w:val="0000045f"/>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Application>LibreOffice/6.1.1.2$Windows_X86_64 LibreOffice_project/5d19a1bfa650b796764388cd8b33a5af1f5baa1b</Application>
  <Pages>5</Pages>
  <Words>1059</Words>
  <Characters>6722</Characters>
  <CharactersWithSpaces>7702</CharactersWithSpaces>
  <Paragraphs>79</Paragraphs>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2024-12-12T16:42:00Z</dcterms:created>
  <dc:creator>Потапов Павел Алексеевич</dc:creator>
  <dc:description/>
  <dc:language>ru-RU</dc:language>
  <cp:lastModifiedBy/>
  <cp:lastPrinted>2022-12-14T08:23:00Z</cp:lastPrinted>
  <dcterms:modified xsi:type="dcterms:W3CDTF">2025-12-18T16:25:38Z</dcterms:modified>
  <cp:revision>31</cp:revision>
  <dc:subject/>
  <dc:title>Приказ Министерства труда и социального развития Пермского края от 10.07.2024 N 33-01-03-683"Об утверждении Порядка выплаты материальной помощи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4024.00.51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