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37" w:rsidRDefault="00881A3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81A37" w:rsidRDefault="00881A37">
      <w:pPr>
        <w:pStyle w:val="ConsPlusNormal"/>
        <w:jc w:val="both"/>
        <w:outlineLvl w:val="0"/>
      </w:pPr>
    </w:p>
    <w:p w:rsidR="00881A37" w:rsidRDefault="00881A37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15 мая 2025 г. N 82196</w:t>
      </w:r>
    </w:p>
    <w:p w:rsidR="00881A37" w:rsidRDefault="00881A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A37" w:rsidRDefault="00881A37">
      <w:pPr>
        <w:pStyle w:val="ConsPlusNormal"/>
      </w:pPr>
    </w:p>
    <w:p w:rsidR="00881A37" w:rsidRDefault="00881A37">
      <w:pPr>
        <w:pStyle w:val="ConsPlusTitle"/>
        <w:jc w:val="center"/>
      </w:pPr>
      <w:r>
        <w:t>МИНИСТЕРСТВО ЗДРАВООХРАНЕНИЯ РОССИЙСКОЙ ФЕДЕРАЦИИ</w:t>
      </w:r>
    </w:p>
    <w:p w:rsidR="00881A37" w:rsidRDefault="00881A37">
      <w:pPr>
        <w:pStyle w:val="ConsPlusTitle"/>
        <w:jc w:val="center"/>
      </w:pPr>
    </w:p>
    <w:p w:rsidR="00881A37" w:rsidRDefault="00881A37">
      <w:pPr>
        <w:pStyle w:val="ConsPlusTitle"/>
        <w:jc w:val="center"/>
      </w:pPr>
      <w:r>
        <w:t>ПРИКАЗ</w:t>
      </w:r>
    </w:p>
    <w:p w:rsidR="00881A37" w:rsidRDefault="00881A37">
      <w:pPr>
        <w:pStyle w:val="ConsPlusTitle"/>
        <w:jc w:val="center"/>
      </w:pPr>
      <w:r>
        <w:t>от 10 апреля 2025 г. N 180н</w:t>
      </w:r>
    </w:p>
    <w:p w:rsidR="00881A37" w:rsidRDefault="00881A37">
      <w:pPr>
        <w:pStyle w:val="ConsPlusTitle"/>
        <w:jc w:val="center"/>
      </w:pPr>
    </w:p>
    <w:p w:rsidR="00881A37" w:rsidRDefault="00881A37">
      <w:pPr>
        <w:pStyle w:val="ConsPlusTitle"/>
        <w:jc w:val="center"/>
      </w:pPr>
      <w:r>
        <w:t>ОБ УТВЕРЖДЕНИИ ПОРЯДКА</w:t>
      </w:r>
    </w:p>
    <w:p w:rsidR="00881A37" w:rsidRDefault="00881A37">
      <w:pPr>
        <w:pStyle w:val="ConsPlusTitle"/>
        <w:jc w:val="center"/>
      </w:pPr>
      <w:r>
        <w:t>СОЗДАНИЯ И ДЕЯТЕЛЬНОСТИ ВРАЧЕБНОЙ КОМИССИИ</w:t>
      </w:r>
    </w:p>
    <w:p w:rsidR="00881A37" w:rsidRDefault="00881A37">
      <w:pPr>
        <w:pStyle w:val="ConsPlusTitle"/>
        <w:jc w:val="center"/>
      </w:pPr>
      <w:r>
        <w:t>МЕДИЦИНСКОЙ ОРГАНИЗАЦИИ</w:t>
      </w:r>
    </w:p>
    <w:p w:rsidR="00881A37" w:rsidRDefault="00881A37">
      <w:pPr>
        <w:pStyle w:val="ConsPlusNormal"/>
        <w:jc w:val="center"/>
      </w:pPr>
    </w:p>
    <w:p w:rsidR="00881A37" w:rsidRDefault="00881A3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4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5.2.16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создания и деятельности врачебной комиссии медицинской организации.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81A37" w:rsidRDefault="00881A37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24516);</w:t>
      </w:r>
    </w:p>
    <w:p w:rsidR="00881A37" w:rsidRDefault="00881A37">
      <w:pPr>
        <w:pStyle w:val="ConsPlusNormal"/>
        <w:spacing w:before="220"/>
        <w:ind w:firstLine="540"/>
        <w:jc w:val="both"/>
      </w:pPr>
      <w:hyperlink r:id="rId8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2013 г. N 886н "О внесении изменений в Порядок создания и деятельности врачебной комиссии медицинской организации, утвержденный приказом Министерства здравоохранения и социального развития Российской Федерации от 5 мая 2012 г. N 502н, и в Порядок назначения и выписывания лекарственных препаратов, утвержденный приказом Министерства здравоохранения Российской Федерации от 20 декабря 2012 г. N</w:t>
      </w:r>
      <w:proofErr w:type="gramEnd"/>
      <w:r>
        <w:t xml:space="preserve"> 1175н"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23 декабря 2013 г., регистрационный N 30714).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881A37" w:rsidRDefault="00881A37">
      <w:pPr>
        <w:pStyle w:val="ConsPlusNormal"/>
        <w:ind w:firstLine="540"/>
        <w:jc w:val="both"/>
      </w:pPr>
    </w:p>
    <w:p w:rsidR="00881A37" w:rsidRDefault="00881A37">
      <w:pPr>
        <w:pStyle w:val="ConsPlusNormal"/>
        <w:jc w:val="right"/>
      </w:pPr>
      <w:r>
        <w:t>Министр</w:t>
      </w:r>
    </w:p>
    <w:p w:rsidR="00881A37" w:rsidRDefault="00881A37">
      <w:pPr>
        <w:pStyle w:val="ConsPlusNormal"/>
        <w:jc w:val="right"/>
      </w:pPr>
      <w:r>
        <w:t>М.А.МУРАШКО</w:t>
      </w:r>
    </w:p>
    <w:p w:rsidR="00881A37" w:rsidRDefault="00881A37">
      <w:pPr>
        <w:pStyle w:val="ConsPlusNormal"/>
        <w:ind w:firstLine="540"/>
        <w:jc w:val="both"/>
      </w:pPr>
    </w:p>
    <w:p w:rsidR="00881A37" w:rsidRDefault="00881A37">
      <w:pPr>
        <w:pStyle w:val="ConsPlusNormal"/>
        <w:ind w:firstLine="540"/>
        <w:jc w:val="both"/>
      </w:pPr>
    </w:p>
    <w:p w:rsidR="00881A37" w:rsidRDefault="00881A37">
      <w:pPr>
        <w:pStyle w:val="ConsPlusNormal"/>
        <w:ind w:firstLine="540"/>
        <w:jc w:val="both"/>
      </w:pPr>
    </w:p>
    <w:p w:rsidR="00881A37" w:rsidRDefault="00881A37">
      <w:pPr>
        <w:pStyle w:val="ConsPlusNormal"/>
        <w:ind w:firstLine="540"/>
        <w:jc w:val="both"/>
      </w:pPr>
    </w:p>
    <w:p w:rsidR="00881A37" w:rsidRDefault="00881A37">
      <w:pPr>
        <w:pStyle w:val="ConsPlusNormal"/>
        <w:ind w:firstLine="540"/>
        <w:jc w:val="both"/>
      </w:pPr>
    </w:p>
    <w:p w:rsidR="00881A37" w:rsidRDefault="00881A37">
      <w:pPr>
        <w:pStyle w:val="ConsPlusNormal"/>
        <w:jc w:val="right"/>
        <w:outlineLvl w:val="0"/>
      </w:pPr>
      <w:r>
        <w:t>Утвержден</w:t>
      </w:r>
    </w:p>
    <w:p w:rsidR="00881A37" w:rsidRDefault="00881A37">
      <w:pPr>
        <w:pStyle w:val="ConsPlusNormal"/>
        <w:jc w:val="right"/>
      </w:pPr>
      <w:r>
        <w:t>приказом Министерства здравоохранения</w:t>
      </w:r>
    </w:p>
    <w:p w:rsidR="00881A37" w:rsidRDefault="00881A37">
      <w:pPr>
        <w:pStyle w:val="ConsPlusNormal"/>
        <w:jc w:val="right"/>
      </w:pPr>
      <w:r>
        <w:t>Российской Федерации</w:t>
      </w:r>
    </w:p>
    <w:p w:rsidR="00881A37" w:rsidRDefault="00881A37">
      <w:pPr>
        <w:pStyle w:val="ConsPlusNormal"/>
        <w:jc w:val="right"/>
      </w:pPr>
      <w:r>
        <w:t>от 10 апреля 2025 г. N 180н</w:t>
      </w:r>
    </w:p>
    <w:p w:rsidR="00881A37" w:rsidRDefault="00881A37">
      <w:pPr>
        <w:pStyle w:val="ConsPlusNormal"/>
        <w:jc w:val="both"/>
      </w:pPr>
    </w:p>
    <w:p w:rsidR="00881A37" w:rsidRDefault="00881A37">
      <w:pPr>
        <w:pStyle w:val="ConsPlusTitle"/>
        <w:jc w:val="center"/>
      </w:pPr>
      <w:bookmarkStart w:id="0" w:name="P32"/>
      <w:bookmarkEnd w:id="0"/>
      <w:r>
        <w:t>ПОРЯДОК</w:t>
      </w:r>
    </w:p>
    <w:p w:rsidR="00881A37" w:rsidRDefault="00881A37">
      <w:pPr>
        <w:pStyle w:val="ConsPlusTitle"/>
        <w:jc w:val="center"/>
      </w:pPr>
      <w:r>
        <w:t>СОЗДАНИЯ И ДЕЯТЕЛЬНОСТИ ВРАЧЕБНОЙ КОМИССИИ</w:t>
      </w:r>
    </w:p>
    <w:p w:rsidR="00881A37" w:rsidRDefault="00881A37">
      <w:pPr>
        <w:pStyle w:val="ConsPlusTitle"/>
        <w:jc w:val="center"/>
      </w:pPr>
      <w:r>
        <w:t>МЕДИЦИНСКОЙ ОРГАНИЗАЦИИ</w:t>
      </w:r>
    </w:p>
    <w:p w:rsidR="00881A37" w:rsidRDefault="00881A37">
      <w:pPr>
        <w:pStyle w:val="ConsPlusNormal"/>
        <w:jc w:val="center"/>
      </w:pPr>
    </w:p>
    <w:p w:rsidR="00881A37" w:rsidRDefault="00881A37">
      <w:pPr>
        <w:pStyle w:val="ConsPlusNormal"/>
        <w:ind w:firstLine="540"/>
        <w:jc w:val="both"/>
      </w:pPr>
      <w:r>
        <w:t xml:space="preserve">1. </w:t>
      </w:r>
      <w:proofErr w:type="gramStart"/>
      <w:r>
        <w:t>Врачебная комиссия медицинской организации (далее - врачебная комиссия) создается в медицинской организации в целях совершенствования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 для медицинского применения</w:t>
      </w:r>
      <w:proofErr w:type="gramEnd"/>
      <w:r>
        <w:t xml:space="preserve"> (далее - лекарственные препараты), обеспечения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 &lt;1&gt;.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2 статьи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881A37" w:rsidRDefault="00881A37">
      <w:pPr>
        <w:pStyle w:val="ConsPlusNormal"/>
        <w:ind w:firstLine="540"/>
        <w:jc w:val="both"/>
      </w:pPr>
    </w:p>
    <w:p w:rsidR="00881A37" w:rsidRDefault="00881A37">
      <w:pPr>
        <w:pStyle w:val="ConsPlusNormal"/>
        <w:ind w:firstLine="540"/>
        <w:jc w:val="both"/>
      </w:pPr>
      <w:r>
        <w:t xml:space="preserve">2. В своей деятельности врачебная комиссия руководствуется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включая настоящий Порядок, законами и иными нормативными правовыми актами субъектов Российской Федерации, а также муниципальными правовыми актами.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3. Врачебная комиссия создается на </w:t>
      </w:r>
      <w:proofErr w:type="gramStart"/>
      <w:r>
        <w:t>основании</w:t>
      </w:r>
      <w:proofErr w:type="gramEnd"/>
      <w:r>
        <w:t xml:space="preserve"> приказа руководителя медицинской организации.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4. По решению руководителя медицинской организации в составе врачебной комиссии могут формироваться подкомиссии врачебной комиссии.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5. Положение о врачебной комиссии (подкомиссии врачебной комиссии), регламентирующее цели, задачи и функции врачебной комиссии (подкомиссий врачебной комиссии), порядок работы, учета и представления отчетности по итогам деятельности, и состав врачебной комиссии (подкомиссий врачебной комиссии) утверждаются руководителем медицинской организации.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6. Врачебная комиссия (подкомиссия врачебной комиссии) состоит из председателя, одного или двух заместителей председателя и иных членов комиссии. Минимальное количество членов врачебной комиссии (подкомиссии врачебной комиссии) составляет 3 человека с учетом председателя и заместителя председателя.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7. Председателем врачебной комиссии назначается руководитель медицинской организации или заместитель руководителя медицинской организации, в должностные обязанности которого входит решение вопросов, отнесенных к компетенции врачебной комиссии.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8. Председателем подкомиссии врачебной комиссии назначается руководитель медицинской организации, или заместитель руководителя медицинской организации, или руководитель структурного подразделения медицинской организации, в должностные обязанности которого входит решение вопросов, отнесенных к компетенции подкомиссии врачебной комиссии.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9. В состав врачебной комиссии и подкомиссий врачебной комиссии могут включаться руководители структурных подразделений медицинской организации, врачи из числа медицинских работников медицинской организации, в которой создается врачебная комиссия, а </w:t>
      </w:r>
      <w:r>
        <w:lastRenderedPageBreak/>
        <w:t>также врачи из числа медицинских работников иных медицинских организаций.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Организационное обеспечение деятельности врачебной комиссии (подкомиссии врачебной комиссии) осуществляется медицинским работником или иным работником медицинской организации (далее - секретарь врачебной комиссии (подкомиссии врачебной комиссии).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r>
        <w:t>11. Секретарь врачебной комиссии (подкомиссии врачебной комиссии) осуществляет следующие функции: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1) составление планов-графиков заседаний врачебной комиссии (подкомиссии врачебной комиссии);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2) подготовка материалов для заседания врачебной комиссии (подкомиссии врачебной комиссии);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3) уведомление членов врачебной комиссии (подкомиссии врачебной комиссии) о дате и времени проведения заседания врачебной комиссии (подкомиссии врачебной комиссии);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4) оформление протоколов врачебной комиссии (подкомиссии врачебной комиссии);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5) внесение решения врачебной комиссии (подкомиссии врачебной комиссии) в медицинскую документацию пациента;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6) ведение журнала врачебной комиссии (подкомиссии врачебной комиссии) на бумажном носителе и (или) в форме электронного документа, в котором указываются дата, время проведения и фиксируются принятые решения врачебной комиссии (подкомиссии врачебной комиссии);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7) организация хранения материалов деятельности врачебной комиссии (подкомиссии врачебной комиссии).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12. Заседания врачебной комиссии (подкомиссии врачебной комиссии) проводятся не реже одного раза в месяц на основании планов-графиков, утверждаемых руководителем медицинской организации.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13. По решению председателя врачебной комиссии (подкомиссии врачебной комиссии), согласованному с руководителем медицинской организации (уполномоченным заместителем руководителя медицинской организации), могут проводиться внеплановые заседания врачебной комиссии (подкомиссии врачебной комиссии).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14. Заседание врачебной комиссии (подкомиссии врачебной комиссии) считается правомочным при наличии кворума, который составляет не менее двух третей состава врачебной комиссии (подкомиссии врачебной комиссии).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>Решение врачебной комиссии (подкомиссии врачебной комиссии) считается принятым, если его поддержало не менее двух третей членов врачебной комиссии (подкомиссии врачебной комиссии), присутствующих на заседании врачебной комиссии (подкомиссии врачебной комиссии).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Решение врачебной комиссии (подкомиссии врачебной комиссии) оформляется протоколом на бумажном носителе, подписываемом присутствовавшими на заседании членами врачебной комиссии (подкомиссии врачебной комиссии), или формируется в форме электронного документа, подписанного усиленными квалифицированными электронными подписями указанных лиц, в срок, не превышающий трех рабочих дней со дня проведения заседания врачебной комиссии (подкомиссии врачебной комиссии), который содержит следующие </w:t>
      </w:r>
      <w:r>
        <w:lastRenderedPageBreak/>
        <w:t>сведения: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r>
        <w:t>1) дата проведения заседания врачебной комиссии (подкомиссии врачебной комиссии);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2) список членов врачебной комиссии (подкомиссии врачебной комиссии), присутствовавших на заседании врачебной комиссии (подкомиссии врачебной комиссии);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3) перечень обсуждавшихся на </w:t>
      </w:r>
      <w:proofErr w:type="gramStart"/>
      <w:r>
        <w:t>заседании</w:t>
      </w:r>
      <w:proofErr w:type="gramEnd"/>
      <w:r>
        <w:t xml:space="preserve"> врачебной комиссии (подкомиссии врачебной комиссии) вопросов;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4) решение врачебной комиссии (подкомиссии врачебной комиссии) и его обоснование;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5) сведения об индивидуальной непереносимости взаимозаменяемых лекарственных препаратов (при принятии врачебной комиссией (подкомиссией врачебной комиссии) решения, указанного в </w:t>
      </w:r>
      <w:hyperlink w:anchor="P79">
        <w:r>
          <w:rPr>
            <w:color w:val="0000FF"/>
          </w:rPr>
          <w:t>подпункте 8 пункта 20</w:t>
        </w:r>
      </w:hyperlink>
      <w:r>
        <w:t xml:space="preserve"> настоящего Порядка.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Выписка из протокола врачебной комиссии (подкомиссии врачебной комиссии) выдается пациенту и (или) его </w:t>
      </w:r>
      <w:hyperlink r:id="rId11">
        <w:r>
          <w:rPr>
            <w:color w:val="0000FF"/>
          </w:rPr>
          <w:t>законному представителю</w:t>
        </w:r>
      </w:hyperlink>
      <w:r>
        <w:t xml:space="preserve"> либо иному лицу, указанному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 (далее - иное лицо), по запросу, направленному в том числе в электронной форме, на бумажном носителе и (или) в форме электронного</w:t>
      </w:r>
      <w:proofErr w:type="gramEnd"/>
      <w:r>
        <w:t xml:space="preserve"> документа в срок, не </w:t>
      </w:r>
      <w:proofErr w:type="gramStart"/>
      <w:r>
        <w:t>превышающий</w:t>
      </w:r>
      <w:proofErr w:type="gramEnd"/>
      <w:r>
        <w:t xml:space="preserve"> трех рабочих дней со дня поступления в медицинскую организацию указанного запроса.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17. Протоколы врачебной комиссии (подкомиссии врачебной комиссии) подлежат хранению в течение десяти лет.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18. Председатель врачебной комиссии ежеквартально, а также по итогам года представляет руководителю медицинской организации письменный отчет о деятельности врачебной комиссии и подкомиссий врачебной комиссии.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Контроль за</w:t>
      </w:r>
      <w:proofErr w:type="gramEnd"/>
      <w:r>
        <w:t xml:space="preserve"> деятельностью врачебной комиссии и подкомиссий врачебной комиссии осуществляет руководитель медицинской организации.</w:t>
      </w:r>
    </w:p>
    <w:p w:rsidR="00881A37" w:rsidRDefault="00881A37">
      <w:pPr>
        <w:pStyle w:val="ConsPlusNormal"/>
        <w:spacing w:before="220"/>
        <w:ind w:firstLine="540"/>
        <w:jc w:val="both"/>
      </w:pPr>
      <w:bookmarkStart w:id="1" w:name="P71"/>
      <w:bookmarkEnd w:id="1"/>
      <w:r>
        <w:t>20. Врачебная комиссия может осуществлять следующие функции: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1) принятие решений по вопросам совершенствования организации оказания медицинской помощи населению на основе внедрения системы менеджмента качества;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2) принятие решений по вопросам определения подходов к внедрению в медицинской организации технологий, направленных на рациональное использование времени пациента и медицинского работника, обеспечения комфортности условий предоставления медицинских услуг;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3) принятие решений по вопросам профилактики, диагностики, лечения, медицинской реабилитации, в том числе санаторно-курортного лечения, проведения медицинских экспертиз, медицинских осмотров и медицинских освидетельствований, определения профессиональной пригодности некоторых категорий работников и связи заболевания с профессией в случаях, установленных законодательством Российской Федерации, в наиболее сложных и конфликтных случаях, требующих комиссионного рассмотрения;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4) определение трудоспособности граждан в случаях, установленных законодательством Российской Федерации;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5) продление </w:t>
      </w:r>
      <w:hyperlink r:id="rId12">
        <w:r>
          <w:rPr>
            <w:color w:val="0000FF"/>
          </w:rPr>
          <w:t>листков</w:t>
        </w:r>
      </w:hyperlink>
      <w:r>
        <w:t xml:space="preserve"> нетрудоспособности в случаях, установленных законодательством Российской Федерации;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lastRenderedPageBreak/>
        <w:t xml:space="preserve">6) принятие решения о направлении пациента на медико-социальную экспертизу в соответствии с </w:t>
      </w:r>
      <w:hyperlink r:id="rId13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7) оценка качества, обоснованности и эффективности лечебно-диагностических мероприятий, в том числе назначения лекарственных препаратов;</w:t>
      </w:r>
    </w:p>
    <w:p w:rsidR="00881A37" w:rsidRDefault="00881A37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8) принятие решения о назначении и применении лекарственных препаратов, медицинских изделий и специализированных продуктов лечебного питания, не входящих в соответствующий </w:t>
      </w:r>
      <w:hyperlink r:id="rId14">
        <w:r>
          <w:rPr>
            <w:color w:val="0000FF"/>
          </w:rPr>
          <w:t>стандарт</w:t>
        </w:r>
      </w:hyperlink>
      <w:r>
        <w:t xml:space="preserve"> медицинской помощи или не предусмотренных соответствующей </w:t>
      </w:r>
      <w:hyperlink r:id="rId15">
        <w:r>
          <w:rPr>
            <w:color w:val="0000FF"/>
          </w:rPr>
          <w:t>клинической рекомендацией</w:t>
        </w:r>
      </w:hyperlink>
      <w:r>
        <w:t>, либо по торговым наименованиям при наличии медицинских показаний (индивидуальной непереносимости, по жизненным показаниям);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>9) вынесение заключения о необходимости незамедлительного обеспечения конкретного гражданина с тяжелым жизнеугрожающим и хроническим заболеванием, в том числе редким (орфанным) заболеванием, который получал поддержку в рамках деятельности Фонда поддержки детей с тяжелыми жизнеугрожающими и хроническими заболеваниями, в том числе редкими (орфанными) заболеваниями, "Круг добра" (далее - Фонд) до достижения им 18-летнего возраста и обеспечение оказания поддержки которому осуществляется Фондом в течение</w:t>
      </w:r>
      <w:proofErr w:type="gramEnd"/>
      <w:r>
        <w:t xml:space="preserve"> одного года после достижения им 18-летнего возраста, либо групп таких граждан (далее - дети с орфанными заболеваниями) лекарственным препаратом из резерва лекарственных препаратов, включенных в перечни для закупок, в </w:t>
      </w:r>
      <w:proofErr w:type="gramStart"/>
      <w:r>
        <w:t>целях</w:t>
      </w:r>
      <w:proofErr w:type="gramEnd"/>
      <w:r>
        <w:t xml:space="preserve"> незамедлительного обеспечения неопределенной группы детей с орфанными заболеваниями;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10) принятие решения о необходимости назначения лекарственных препаратов, не входящих в </w:t>
      </w:r>
      <w:hyperlink r:id="rId1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(при оказании медицинской помощи в рамках программы государственных гарантий бесплатного оказания гражданам медицинской помощи);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>11) в случае принятия решения о назначении не зарегистрированного в Российской Федерации лекарственного препарата, определение порядка его применения на основе или с учетом инструкции по применению (дозировки, способа введения и применения, режима дозирования, продолжительности лечения и обоснования назначения лекарственного препарата), включая наблюдение за пациентом, применяющим такой препарат;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r>
        <w:t>12) принятие решения о назначении незарегистрированных в Российской Федерации медицинских изделий при наличии медицинских показаний (по жизненным показаниям);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 xml:space="preserve">13) принятие решения о направлении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 лекарственного препарата, 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</w:t>
      </w:r>
      <w:hyperlink w:anchor="P79">
        <w:r>
          <w:rPr>
            <w:color w:val="0000FF"/>
          </w:rPr>
          <w:t>подпунктом 8</w:t>
        </w:r>
      </w:hyperlink>
      <w:r>
        <w:t xml:space="preserve"> настоящего пункта;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r>
        <w:t>14) принятие решения по вопросам назначения и коррекции лечения в целях учета данных пациентов при обеспечении лекарственными препаратами в соответствии с законодательством Российской Федерации;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 xml:space="preserve">15)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</w:t>
      </w:r>
      <w:hyperlink r:id="rId17">
        <w:r>
          <w:rPr>
            <w:color w:val="0000FF"/>
          </w:rPr>
          <w:t>порядок</w:t>
        </w:r>
      </w:hyperlink>
      <w:r>
        <w:t xml:space="preserve"> назначения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</w:t>
      </w:r>
      <w:proofErr w:type="gramEnd"/>
      <w:r>
        <w:t xml:space="preserve"> в </w:t>
      </w:r>
      <w:proofErr w:type="gramStart"/>
      <w:r>
        <w:t>виде</w:t>
      </w:r>
      <w:proofErr w:type="gramEnd"/>
      <w:r>
        <w:t xml:space="preserve"> набора социальных услуг;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lastRenderedPageBreak/>
        <w:t>16) принятие решения о назначении отдельному пациенту биомедицинского клеточного продукта, предназначенного для исполнения индивидуального медицинского назначения биомедицинского клеточного продукта, специально произведенного для отдельного пациента непосредственно в медицинской организации, в которой применяется данный биомедицинский клеточный продукт (далее - индивидуальный биомедицинский клеточный продукт), и которой предоставлено разрешение на производство и применение индивидуального биомедицинского клеточного продукта;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>17) принятие решения о применении биотехнологического лекарственного препарата, предназначенного для применения в соответствии с индивидуальным медицинским назначением и специально изготовленного для конкретного пациента непосредственно в медицинской организации, в которой применяется такой биотехнологический лекарственный препарат, имеющий в своем составе соединения, синтезированные по результатам генетических исследований материала, полученного от пациента, для которого изготовлен такой биотехнологический лекарственный препарат (далее - индивидуальный биотехнологический лекарственный препарат</w:t>
      </w:r>
      <w:proofErr w:type="gramEnd"/>
      <w:r>
        <w:t>), при налич</w:t>
      </w:r>
      <w:proofErr w:type="gramStart"/>
      <w:r>
        <w:t>ии у у</w:t>
      </w:r>
      <w:proofErr w:type="gramEnd"/>
      <w:r>
        <w:t>казанной медицинской организации разрешения на применение индивидуального биотехнологического лекарственного препарата;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18) проведение отбора пациентов в </w:t>
      </w:r>
      <w:proofErr w:type="gramStart"/>
      <w:r>
        <w:t>соответствии</w:t>
      </w:r>
      <w:proofErr w:type="gramEnd"/>
      <w:r>
        <w:t xml:space="preserve"> с </w:t>
      </w:r>
      <w:hyperlink r:id="rId18">
        <w:r>
          <w:rPr>
            <w:color w:val="0000FF"/>
          </w:rPr>
          <w:t>порядком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 &lt;2&gt;;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">
        <w:r>
          <w:rPr>
            <w:color w:val="0000FF"/>
          </w:rPr>
          <w:t>Часть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881A37" w:rsidRDefault="00881A37">
      <w:pPr>
        <w:pStyle w:val="ConsPlusNormal"/>
        <w:ind w:firstLine="540"/>
        <w:jc w:val="both"/>
      </w:pPr>
    </w:p>
    <w:p w:rsidR="00881A37" w:rsidRDefault="00881A37">
      <w:pPr>
        <w:pStyle w:val="ConsPlusNormal"/>
        <w:ind w:firstLine="540"/>
        <w:jc w:val="both"/>
      </w:pPr>
      <w:r>
        <w:t xml:space="preserve">19) выдача заключения о нуждаемости ветерана в обеспечении протезами (кроме зубных протезов), протезно-ортопедическими изделиями в соответствии с </w:t>
      </w:r>
      <w:hyperlink r:id="rId20">
        <w:r>
          <w:rPr>
            <w:color w:val="0000FF"/>
          </w:rPr>
          <w:t>Правилами</w:t>
        </w:r>
      </w:hyperlink>
      <w: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N 240;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 xml:space="preserve">20) осуществление медицинского освидетельствования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тяжелого заболевания, включенного в </w:t>
      </w:r>
      <w:hyperlink r:id="rId21">
        <w:r>
          <w:rPr>
            <w:color w:val="0000FF"/>
          </w:rPr>
          <w:t>перечень</w:t>
        </w:r>
      </w:hyperlink>
      <w:r>
        <w:t xml:space="preserve">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 января 2011 г. N 3;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r>
        <w:t>21) проведение обязательного психиатрического освидетельствования;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22) выдача справки об отсутствии медицинских противопоказаний для работы с использованием сведений, составляющих государственную тайну;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23) вынесение медицинского заключения о том, что при изъятии органов и тканей для трансплантации (пересадки) у живого донора его здоровью не будет причинен значительный вред;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 xml:space="preserve">24) взаимодействие в работе по вопросам, относящимся к компетенции врачебной комиссии, с территориальными фондами обязательного медицинского страхования, Фондом пенсионного и социального страхования Российской Федерации,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человека, федеральными учреждениями медико-социальной экспертизы, со страховыми медицинскими организациями, иными органами </w:t>
      </w:r>
      <w:r>
        <w:lastRenderedPageBreak/>
        <w:t>и организациями;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>25) иные функции, предусмотренные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Федерации.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21. По решению руководителя медицинской организации врачебная комиссия может осуществлять следующие функции:</w:t>
      </w:r>
    </w:p>
    <w:p w:rsidR="00881A37" w:rsidRDefault="00881A37">
      <w:pPr>
        <w:pStyle w:val="ConsPlusNormal"/>
        <w:spacing w:before="220"/>
        <w:ind w:firstLine="540"/>
        <w:jc w:val="both"/>
      </w:pPr>
      <w:proofErr w:type="gramStart"/>
      <w:r>
        <w:t>1) разработка и внедрение мероприятий, направленных на повышение качества лечебно-диагностической работы, в том числе предупреждение и устранение нарушений в процессе диагностики и лечения пациентов, снижение показателей заболеваемости, смертности, больничной летальности и инвалидности;</w:t>
      </w:r>
      <w:proofErr w:type="gramEnd"/>
    </w:p>
    <w:p w:rsidR="00881A37" w:rsidRDefault="00881A37">
      <w:pPr>
        <w:pStyle w:val="ConsPlusNormal"/>
        <w:spacing w:before="220"/>
        <w:ind w:firstLine="540"/>
        <w:jc w:val="both"/>
      </w:pPr>
      <w:r>
        <w:t>2) определение подходов и возможности применения в медицинской организации современных методов профилактики, диагностики, лечения и медицинской реабилитации с учетом международной медицинской практики;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3) оценка проведения медицинскими работниками консультаций с применением телемедицинских технологий, анализ своевременности и качества их проведения;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4) анализ заболеваемости, в том числе матерей и новорожденных, внутрибольничными инфекциями, разработка и реализация мероприятий по профилактике заболеваемости внутрибольничными инфекциями;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5) организация и проведение внутреннего контроля качества и безопасности медицинской деятельности;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6) организационно-методическая поддержка учета нежелательных событий при осуществлении медицинской деятельности медицинской организацией (фактов и обстоятельств, создающих угрозу причинения или повлекших причинение вреда жизни и здоровью граждан и (или) медицинских работников, а также приведших к удлинению сроков оказания медицинской помощи);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7) разработка организационно-методических материалов по работе медицинской организации и доведение их до сведения медицинских работников;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8) организация информационно-образовательных мероприятий для медицинских работников по ведению форм статистического учета и отчетности в сфере здравоохранения;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9) иные функции, не противоречащие законодательству Российской Федерации.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Врачебная комиссия медицинской организации, подведомственной федеральному органу исполнительной власти, и врачебная комиссия краевой (республиканской, областной, окружной) больницы, являющейся ведущей многопрофильной медицинской организацией на территории субъекта Российской Федерации, подведомственной исполнительному органу субъекта Российской Федерации в сфере охраны здоровья, помимо осуществления функций, указанных в </w:t>
      </w:r>
      <w:hyperlink w:anchor="P71">
        <w:r>
          <w:rPr>
            <w:color w:val="0000FF"/>
          </w:rPr>
          <w:t>пунктах 20</w:t>
        </w:r>
      </w:hyperlink>
      <w:r>
        <w:t xml:space="preserve"> и </w:t>
      </w:r>
      <w:hyperlink w:anchor="P100">
        <w:r>
          <w:rPr>
            <w:color w:val="0000FF"/>
          </w:rPr>
          <w:t>21</w:t>
        </w:r>
      </w:hyperlink>
      <w:r>
        <w:t xml:space="preserve"> настоящего Порядка, принимает решение о назначении не зарегистрированных в Российской Федерации лекарственных препаратов в</w:t>
      </w:r>
      <w:proofErr w:type="gramEnd"/>
      <w:r>
        <w:t xml:space="preserve"> </w:t>
      </w:r>
      <w:proofErr w:type="gramStart"/>
      <w:r>
        <w:t>случаях</w:t>
      </w:r>
      <w:proofErr w:type="gramEnd"/>
      <w:r>
        <w:t>: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1) отсутствия зарегистрированных в Российской Федерации аналогов лекарственных препаратов;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 xml:space="preserve">2) отсутствия эффекта от проводимой терапии и прогрессирующем </w:t>
      </w:r>
      <w:proofErr w:type="gramStart"/>
      <w:r>
        <w:t>ухудшении</w:t>
      </w:r>
      <w:proofErr w:type="gramEnd"/>
      <w:r>
        <w:t xml:space="preserve"> состояния здоровья пациента;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lastRenderedPageBreak/>
        <w:t>3) отсутствия альтернативных (немедикаментозных) методов профилактики, лечения и медицинской реабилитации;</w:t>
      </w:r>
    </w:p>
    <w:p w:rsidR="00881A37" w:rsidRDefault="00881A37">
      <w:pPr>
        <w:pStyle w:val="ConsPlusNormal"/>
        <w:spacing w:before="220"/>
        <w:ind w:firstLine="540"/>
        <w:jc w:val="both"/>
      </w:pPr>
      <w:r>
        <w:t>4) наличия индивидуальной непереносимости зарегистрированных в Российской Федерации аналогов лекарственных препаратов.</w:t>
      </w:r>
    </w:p>
    <w:p w:rsidR="00881A37" w:rsidRDefault="00881A37">
      <w:pPr>
        <w:pStyle w:val="ConsPlusNormal"/>
        <w:jc w:val="both"/>
      </w:pPr>
    </w:p>
    <w:p w:rsidR="00881A37" w:rsidRDefault="00881A37">
      <w:pPr>
        <w:pStyle w:val="ConsPlusNormal"/>
        <w:jc w:val="both"/>
      </w:pPr>
    </w:p>
    <w:p w:rsidR="00881A37" w:rsidRDefault="00881A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F47" w:rsidRDefault="00524F47"/>
    <w:sectPr w:rsidR="00524F47" w:rsidSect="0072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881A37"/>
    <w:rsid w:val="00524F47"/>
    <w:rsid w:val="008300B5"/>
    <w:rsid w:val="00881A37"/>
    <w:rsid w:val="00EB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A37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A37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1A37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1283" TargetMode="External"/><Relationship Id="rId13" Type="http://schemas.openxmlformats.org/officeDocument/2006/relationships/hyperlink" Target="https://login.consultant.ru/link/?req=doc&amp;base=LAW&amp;n=502639&amp;dst=100601" TargetMode="External"/><Relationship Id="rId18" Type="http://schemas.openxmlformats.org/officeDocument/2006/relationships/hyperlink" Target="https://login.consultant.ru/link/?req=doc&amp;base=LAW&amp;n=506075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832&amp;dst=100037" TargetMode="External"/><Relationship Id="rId7" Type="http://schemas.openxmlformats.org/officeDocument/2006/relationships/hyperlink" Target="https://login.consultant.ru/link/?req=doc&amp;base=LAW&amp;n=157003" TargetMode="External"/><Relationship Id="rId12" Type="http://schemas.openxmlformats.org/officeDocument/2006/relationships/hyperlink" Target="https://login.consultant.ru/link/?req=doc&amp;base=LAW&amp;n=115337&amp;dst=100014" TargetMode="External"/><Relationship Id="rId17" Type="http://schemas.openxmlformats.org/officeDocument/2006/relationships/hyperlink" Target="https://login.consultant.ru/link/?req=doc&amp;base=LAW&amp;n=401865&amp;dst=100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6460&amp;dst=105018" TargetMode="External"/><Relationship Id="rId20" Type="http://schemas.openxmlformats.org/officeDocument/2006/relationships/hyperlink" Target="https://login.consultant.ru/link/?req=doc&amp;base=LAW&amp;n=500417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4834&amp;dst=100034" TargetMode="External"/><Relationship Id="rId11" Type="http://schemas.openxmlformats.org/officeDocument/2006/relationships/hyperlink" Target="https://login.consultant.ru/link/?req=doc&amp;base=LAW&amp;n=99661&amp;dst=100004" TargetMode="External"/><Relationship Id="rId5" Type="http://schemas.openxmlformats.org/officeDocument/2006/relationships/hyperlink" Target="https://login.consultant.ru/link/?req=doc&amp;base=LAW&amp;n=502639&amp;dst=100141" TargetMode="External"/><Relationship Id="rId15" Type="http://schemas.openxmlformats.org/officeDocument/2006/relationships/hyperlink" Target="https://login.consultant.ru/link/?req=doc&amp;base=LAW&amp;n=5193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502639&amp;dst=2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39&amp;dst=100511" TargetMode="External"/><Relationship Id="rId14" Type="http://schemas.openxmlformats.org/officeDocument/2006/relationships/hyperlink" Target="https://login.consultant.ru/link/?req=doc&amp;base=LAW&amp;n=141711&amp;dst=100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3343</Words>
  <Characters>19057</Characters>
  <Application>Microsoft Office Word</Application>
  <DocSecurity>0</DocSecurity>
  <Lines>158</Lines>
  <Paragraphs>44</Paragraphs>
  <ScaleCrop>false</ScaleCrop>
  <Company/>
  <LinksUpToDate>false</LinksUpToDate>
  <CharactersWithSpaces>22356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ta.zhukova.59</dc:creator>
  <cp:lastModifiedBy>ta.zhukova.59</cp:lastModifiedBy>
  <cp:revision>1</cp:revision>
  <dcterms:created xsi:type="dcterms:W3CDTF">2025-12-26T08:51:00Z</dcterms:created>
  <dcterms:modified xsi:type="dcterms:W3CDTF">2025-12-26T08:52:00Z</dcterms:modified>
</cp:coreProperties>
</file>