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Times New Roman,BoldItalic"/>
          <w:b/>
          <w:b/>
          <w:bCs/>
          <w:i/>
          <w:i/>
          <w:iCs/>
          <w:color w:val="FF0000"/>
          <w:sz w:val="28"/>
          <w:szCs w:val="28"/>
        </w:rPr>
      </w:pP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>Отделение Фонда пенсионного и социального страхования</w:t>
      </w:r>
      <w:r>
        <w:rPr>
          <w:rFonts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>Российской Федерации по Приморскому краю информирует:</w:t>
      </w:r>
      <w:r>
        <w:rPr>
          <w:rFonts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,BoldItalic" w:hAnsi="Times New Roman,BoldItalic" w:cs="Times New Roman,BoldItalic"/>
          <w:b/>
          <w:b/>
          <w:bCs/>
          <w:i/>
          <w:i/>
          <w:iCs/>
          <w:color w:val="FF0000"/>
          <w:sz w:val="28"/>
          <w:szCs w:val="28"/>
        </w:rPr>
      </w:pP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 xml:space="preserve">в период с 01.01.2026 по 26.01.2026 страхователи обязаны </w:t>
      </w:r>
    </w:p>
    <w:p>
      <w:pPr>
        <w:pStyle w:val="Normal"/>
        <w:spacing w:lineRule="auto" w:line="240" w:before="0" w:after="0"/>
        <w:jc w:val="center"/>
        <w:rPr>
          <w:rFonts w:ascii="Times New Roman,BoldItalic" w:hAnsi="Times New Roman,BoldItalic" w:cs="Times New Roman,BoldItalic"/>
          <w:b/>
          <w:b/>
          <w:bCs/>
          <w:i/>
          <w:i/>
          <w:iCs/>
          <w:color w:val="FF0000"/>
          <w:sz w:val="28"/>
          <w:szCs w:val="28"/>
        </w:rPr>
      </w:pP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>представить</w:t>
      </w:r>
      <w:r>
        <w:rPr>
          <w:rFonts w:cs="Times New Roman,BoldItalic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>сведения о страховом стаже за 2025 год</w:t>
      </w:r>
    </w:p>
    <w:p>
      <w:pPr>
        <w:pStyle w:val="Normal"/>
        <w:spacing w:lineRule="auto" w:line="240" w:before="0" w:after="0"/>
        <w:jc w:val="center"/>
        <w:rPr>
          <w:rFonts w:cs="Times New Roman,BoldItalic"/>
          <w:b/>
          <w:b/>
          <w:bCs/>
          <w:i/>
          <w:i/>
          <w:iCs/>
          <w:color w:val="FF0000"/>
          <w:sz w:val="28"/>
          <w:szCs w:val="28"/>
        </w:rPr>
      </w:pP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>в составе формы ЕФС-1 (подраздел 1.2)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Памятка страхователю</w:t>
      </w:r>
    </w:p>
    <w:p>
      <w:pPr>
        <w:pStyle w:val="Normal"/>
        <w:spacing w:lineRule="auto" w:line="240" w:before="0" w:after="0"/>
        <w:ind w:left="2410" w:hanging="0"/>
        <w:jc w:val="center"/>
        <w:rPr>
          <w:rFonts w:cs="Times New Roman"/>
          <w:color w:val="000000"/>
          <w:sz w:val="10"/>
          <w:szCs w:val="10"/>
        </w:rPr>
      </w:pPr>
      <w:r>
        <w:rPr>
          <w:rFonts w:cs="Times New Roman"/>
          <w:color w:val="000000"/>
          <w:sz w:val="10"/>
          <w:szCs w:val="10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Приказом СФР от 17.11.2025 № 1462 утверждена Новая единая форма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Порядок заполнения формы ЕФС. Сведения о страховом стаже страхователям необходимо представлять в составе подраздела 1.2 раздела 1 единой формы ЕФС-1, утвержденной Приказом СФР от 17.11.2025 № 1462. Форматы к единой форме сведений (ЕФС-1) определены Приказом СФР от 17.11.2025 № 1463.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Согласно пункту 3 статьи 11 Федерального закона от 01.01.1996 №27-ФЗ (ред. от 25.12.2023) сведения о стаже (подраздел 1.2 подраздела 1 формы ЕФС-1)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представляются страхователями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в отношении застрахованных лиц, которые в отчетном периоде имели следующие условия: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выполняли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28.12.2013 № 400-ФЗ «О страховых пенсиях» (далее -Федеральный закон № 400-ФЗ);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№400-ФЗ;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формировали свои пенсионные права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работали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полный навигационный период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 водном транспорте, полный сезон на предприятиях и в организациях сезонных отраслей промышленности, вахтовым методом;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работали в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период отбывания наказания в виде лишения свободы</w:t>
      </w:r>
      <w:r>
        <w:rPr>
          <w:rFonts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имели периоды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простоя или отстранения</w:t>
      </w:r>
      <w:r>
        <w:rPr>
          <w:rFonts w:cs="Times New Roman,Bold" w:ascii="Times New Roman,Bold" w:hAnsi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от работы;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имели периоды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освобождения от работы с сохранением места</w:t>
      </w:r>
      <w:r>
        <w:rPr>
          <w:rFonts w:cs="Times New Roman,Bold" w:ascii="Times New Roman,Bold" w:hAnsi="Times New Roman,Bold"/>
          <w:b/>
          <w:bCs/>
          <w:color w:val="000000"/>
          <w:sz w:val="24"/>
          <w:szCs w:val="24"/>
        </w:rPr>
        <w:t xml:space="preserve"> работы </w:t>
      </w:r>
      <w:r>
        <w:rPr>
          <w:rFonts w:cs="Times New Roman" w:ascii="Times New Roman" w:hAnsi="Times New Roman"/>
          <w:color w:val="000000"/>
          <w:sz w:val="24"/>
          <w:szCs w:val="24"/>
        </w:rPr>
        <w:t>(должности) на время исполнения государственных или общественных обязанностей;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имели период получения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пособия по безработице</w:t>
      </w:r>
      <w:r>
        <w:rPr>
          <w:rFonts w:cs="Times New Roman" w:ascii="Times New Roman" w:hAnsi="Times New Roman"/>
          <w:color w:val="000000"/>
          <w:sz w:val="24"/>
          <w:szCs w:val="24"/>
        </w:rPr>
        <w:t>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находились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отпуске по уходу за ребенком</w:t>
      </w:r>
      <w:r>
        <w:rPr>
          <w:rFonts w:cs="Times New Roman,Bold" w:ascii="Times New Roman,Bold" w:hAnsi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возрасте от полутора до трех лет, в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отпуске без сохранения заработной платы</w:t>
      </w:r>
      <w:r>
        <w:rPr>
          <w:rFonts w:cs="Times New Roman" w:ascii="Times New Roman" w:hAnsi="Times New Roman"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имели период приостановления действия трудового договора </w:t>
      </w:r>
      <w:r>
        <w:rPr>
          <w:rFonts w:cs="Times New Roman" w:ascii="Times New Roman" w:hAnsi="Times New Roman"/>
          <w:b/>
          <w:sz w:val="28"/>
          <w:szCs w:val="28"/>
        </w:rPr>
        <w:t>в случае призыва работника на военную службу по мобилизации или заключения им контракта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пунктом 7 статьи 38 Федерального закона от 28 марта 1998 года № 53-ФЗ "О воинской обязанности и военной службе".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представлении сведений о работниках, которые заняты на работах, дающих право на досрочную пенсию в соответствии с ч. 1 ст. 30 и ст. 31 Федерального закона № 400-ФЗ обязателен к заполнению подраздел 2 раздела 1 формы ЕФС-1 «Основание для отражения данных о периодах работы застрахованного лица в условиях, дающих право на досрочное назначение пенсии в соответствии с частью 1 статьи 30 и статьи 31 Федерального закона № 400-ФЗ.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Согласно пункта 55 Порядка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заполнения ЕФС-1, сведения о стаже с типом сведений «Исходная» за отчетный период 2025 года представляются в отношении застрахованных лиц, на которых в течение 2025 года представлялась форма ЕФС-1 с типом сведений «</w:t>
      </w:r>
      <w:r>
        <w:rPr>
          <w:rFonts w:cs="Times New Roman" w:ascii="Times New Roman" w:hAnsi="Times New Roman"/>
          <w:bCs/>
          <w:color w:val="000000"/>
        </w:rPr>
        <w:t>Назначение пенсии» или «Назначение выплат по ОСС»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</w:t>
      </w:r>
      <w:r>
        <w:rPr>
          <w:rFonts w:cs="Times New Roman" w:ascii="Times New Roman" w:hAnsi="Times New Roman"/>
          <w:color w:val="000000"/>
          <w:sz w:val="24"/>
          <w:szCs w:val="24"/>
        </w:rPr>
        <w:t>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65 Порядка </w:t>
      </w:r>
      <w:r>
        <w:rPr>
          <w:rFonts w:cs="Times New Roman" w:ascii="Times New Roman" w:hAnsi="Times New Roman"/>
          <w:color w:val="000000"/>
          <w:sz w:val="24"/>
          <w:szCs w:val="24"/>
        </w:rPr>
        <w:t>заполнения ЕФС-1,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сведения представляются на всех застрахованных лиц, осуществлявших трудовую деятельность в местностях с особыми климатическими условиями.</w:t>
      </w:r>
    </w:p>
    <w:p>
      <w:pPr>
        <w:pStyle w:val="Normal"/>
        <w:spacing w:lineRule="auto" w:line="24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ликвидации страхователя - юридического лица (прекращении физическим лицом деятельности в качестве индивидуального предпринимателя) сведения о стаже представляются на всех работающих у страхователя (работавших в отчетном периоде) застрахованных лиц.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b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  <w:t>Обращаем внимание на изменения, установленные Порядком заполнения ЕФС-1 с 01.01.2026: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заполнении поля «Статус ЗЛ» для иностранцев, застрахованных по международным договорам, добавили код «МДИГ» (п.38 Порядка заполнения ЕФС-1);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сведения о назначении выплат по ОСС </w:t>
      </w:r>
      <w:r>
        <w:rPr>
          <w:rStyle w:val="Style18"/>
          <w:rFonts w:cs="Times New Roman" w:ascii="Times New Roman" w:hAnsi="Times New Roman"/>
          <w:color w:val="000000"/>
          <w:sz w:val="24"/>
          <w:szCs w:val="24"/>
        </w:rPr>
        <w:footnoteReference w:id="2"/>
      </w:r>
      <w:r>
        <w:rPr>
          <w:rFonts w:cs="Times New Roman" w:ascii="Times New Roman" w:hAnsi="Times New Roman"/>
          <w:color w:val="000000"/>
          <w:sz w:val="24"/>
          <w:szCs w:val="24"/>
        </w:rPr>
        <w:t>не формируются и не представляются в органы СФР (п.55 Порядка заполнения ЕФС-1);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графы 11 «Индивидуальный номер рабочего места» и 12 «Класс (подкласс) условий труда» заполняют, если по итогам СОУТ</w:t>
      </w:r>
      <w:r>
        <w:rPr>
          <w:rStyle w:val="Style18"/>
          <w:rFonts w:cs="Times New Roman" w:ascii="Times New Roman" w:hAnsi="Times New Roman"/>
          <w:color w:val="000000"/>
          <w:sz w:val="24"/>
          <w:szCs w:val="24"/>
        </w:rPr>
        <w:footnoteReference w:id="3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рабочему месту присвоили вредный или опасный класс условий труда (п. 106 Порядка заполнения ЕФС-1).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,BoldItalic" w:hAnsi="Times New Roman,BoldItalic" w:cs="Times New Roman,BoldItalic"/>
          <w:b/>
          <w:b/>
          <w:bCs/>
          <w:i/>
          <w:i/>
          <w:iCs/>
          <w:color w:val="FF0000"/>
          <w:sz w:val="28"/>
          <w:szCs w:val="28"/>
        </w:rPr>
      </w:pP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28"/>
          <w:szCs w:val="28"/>
        </w:rPr>
        <w:t>ВАЖНО!!! Сведения о стаже заполняются полностью за весь 2025 год, включая периоды общего стажа.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,BoldItalic" w:hAnsi="Times New Roman,BoldItalic" w:cs="Times New Roman,BoldItalic"/>
          <w:b/>
          <w:b/>
          <w:bCs/>
          <w:i/>
          <w:i/>
          <w:iCs/>
          <w:color w:val="FF0000"/>
          <w:sz w:val="10"/>
          <w:szCs w:val="10"/>
        </w:rPr>
      </w:pPr>
      <w:r>
        <w:rPr>
          <w:rFonts w:cs="Times New Roman,BoldItalic" w:ascii="Times New Roman,BoldItalic" w:hAnsi="Times New Roman,BoldItalic"/>
          <w:b/>
          <w:bCs/>
          <w:i/>
          <w:iCs/>
          <w:color w:val="FF0000"/>
          <w:sz w:val="10"/>
          <w:szCs w:val="10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Ответственность страхователей за непредставление ими в установленный срок либо представление им неполных и (или) недостоверных сведений, а также за несоблюдение страхователем порядка представления сведений в форме электронных документов, предусмотрена статьей 17 Федерального закона от 01.01.1996 №27-ФЗ.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Финансовые санкции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применяются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 размере 500 рублей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в отношении каждого застрахованного лица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u w:val="single"/>
          <w:lang w:eastAsia="ru-RU"/>
        </w:rPr>
        <w:t>за непредставление в установленный срок либо представление неполных и (или) недостоверных сведений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в составе формы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ЕФС -1.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>Ф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>инансовые санкции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 xml:space="preserve"> в размере 1000 рублей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  <w:u w:val="single"/>
          <w:lang w:eastAsia="ru-RU"/>
        </w:rPr>
        <w:t>за несоблюдение страхователем порядка представления сведений в форме электронных документов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>,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>если численность работающих у него застрахованных лиц за отчетный период превышает 10 человек.</w:t>
      </w:r>
      <w:r>
        <w:rPr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>Численность работающих застрахованных лиц определяется на основании ежемесячных сведений о работающих у страхователя застрахованных лицах, поступающих от ФНС России.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  <w:lang w:eastAsia="ru-RU"/>
        </w:rPr>
        <w:t xml:space="preserve">Вышеуказанные основания для применения финансовых санкций являются поводом для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lang w:eastAsia="ru-RU"/>
        </w:rPr>
        <w:t>привлечения должностных лиц страхователей к административной ответственности</w:t>
      </w:r>
      <w:r>
        <w:rPr>
          <w:rFonts w:eastAsia="Calibri" w:cs="Times New Roman" w:ascii="Times New Roman" w:hAnsi="Times New Roman"/>
          <w:bCs/>
          <w:iCs/>
          <w:sz w:val="24"/>
          <w:szCs w:val="24"/>
          <w:lang w:eastAsia="ru-RU"/>
        </w:rPr>
        <w:t xml:space="preserve"> в соответствии с</w:t>
      </w:r>
      <w:r>
        <w:rPr>
          <w:rFonts w:eastAsia="Calibri" w:cs="Times New Roman" w:ascii="Times New Roman" w:hAnsi="Times New Roman"/>
          <w:bCs/>
          <w:sz w:val="24"/>
          <w:szCs w:val="24"/>
          <w:lang w:eastAsia="ru-RU"/>
        </w:rPr>
        <w:t xml:space="preserve"> частью 1 статьи 15.33.2 КоАП.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bCs/>
          <w:iCs/>
          <w:sz w:val="10"/>
          <w:szCs w:val="10"/>
        </w:rPr>
      </w:pPr>
      <w:r>
        <w:rPr>
          <w:rFonts w:eastAsia="Times New Roman" w:cs="Times New Roman" w:ascii="Times New Roman" w:hAnsi="Times New Roman"/>
          <w:bCs/>
          <w:iCs/>
          <w:sz w:val="10"/>
          <w:szCs w:val="10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С целью оперативного решения вопросов по представлению отчетности СФР по единой форме сведений (ЕФС-1) и получения консультации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дистанционном виде страхователи вправе: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обратиться по номеру телефона горячей линии: </w:t>
      </w:r>
      <w:r>
        <w:rPr>
          <w:rFonts w:cs="Times New Roman" w:ascii="Times New Roman" w:hAnsi="Times New Roman"/>
          <w:color w:val="212121"/>
          <w:sz w:val="24"/>
          <w:szCs w:val="24"/>
          <w:shd w:fill="E1EDFE" w:val="clear"/>
        </w:rPr>
        <w:t>8 (423) 2498-600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направить в службу технической поддержки СФР по вопросам представления отчетности по форме ЕФС-1 заявку  по прилагаемой форме на электронный адрес </w:t>
      </w:r>
      <w:hyperlink r:id="rId2">
        <w:r>
          <w:rPr>
            <w:rFonts w:eastAsia="Times New Roman" w:cs="Times New Roman" w:ascii="Times New Roman" w:hAnsi="Times New Roman"/>
            <w:bCs/>
            <w:iCs/>
            <w:sz w:val="24"/>
            <w:szCs w:val="24"/>
          </w:rPr>
          <w:t>otchet_sfr@99.sfr.gov.ru</w:t>
        </w:r>
      </w:hyperlink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. Заявка должна быть в doc-формате, с запросом  по одной проблеме и обязательным указанием необходимых реквизитов.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567" w:right="567" w:gutter="0" w:header="709" w:top="1418" w:footer="0" w:bottom="340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BoldItalic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altName w:val="Bold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rPr>
          <w:rFonts w:ascii="Times New Roman" w:hAnsi="Times New Roman" w:cs="Times New Roman"/>
        </w:rPr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Обязательное социальное страхование</w:t>
      </w:r>
    </w:p>
  </w:footnote>
  <w:footnote w:id="3">
    <w:p>
      <w:pPr>
        <w:pStyle w:val="Style31"/>
        <w:rPr/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Специальная оценка условий труда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2638425</wp:posOffset>
          </wp:positionH>
          <wp:positionV relativeFrom="paragraph">
            <wp:posOffset>-373380</wp:posOffset>
          </wp:positionV>
          <wp:extent cx="1149350" cy="819150"/>
          <wp:effectExtent l="0" t="0" r="0" b="0"/>
          <wp:wrapSquare wrapText="bothSides"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29"/>
      <w:rPr/>
    </w:pPr>
    <w:r>
      <w:rPr/>
    </w:r>
  </w:p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2638425</wp:posOffset>
          </wp:positionH>
          <wp:positionV relativeFrom="paragraph">
            <wp:posOffset>-373380</wp:posOffset>
          </wp:positionV>
          <wp:extent cx="1149350" cy="819150"/>
          <wp:effectExtent l="0" t="0" r="0" b="0"/>
          <wp:wrapSquare wrapText="bothSides"/>
          <wp:docPr id="2" name="Изображение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26412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e5fb4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e5fb4"/>
    <w:rPr/>
  </w:style>
  <w:style w:type="character" w:styleId="Style17" w:customStyle="1">
    <w:name w:val="Текст сноски Знак"/>
    <w:basedOn w:val="DefaultParagraphFont"/>
    <w:uiPriority w:val="99"/>
    <w:semiHidden/>
    <w:qFormat/>
    <w:rsid w:val="002a4dd3"/>
    <w:rPr>
      <w:sz w:val="20"/>
      <w:szCs w:val="20"/>
    </w:rPr>
  </w:style>
  <w:style w:type="character" w:styleId="Style18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2a4dd3"/>
    <w:rPr>
      <w:vertAlign w:val="superscript"/>
    </w:rPr>
  </w:style>
  <w:style w:type="character" w:styleId="Style19" w:customStyle="1">
    <w:name w:val="Символ сноски"/>
    <w:qFormat/>
    <w:rPr/>
  </w:style>
  <w:style w:type="character" w:styleId="Style20" w:customStyle="1">
    <w:name w:val="Привязка концевой сноски"/>
    <w:rPr>
      <w:vertAlign w:val="superscript"/>
    </w:rPr>
  </w:style>
  <w:style w:type="character" w:styleId="Style21" w:customStyle="1">
    <w:name w:val="Символ концевой сноски"/>
    <w:qFormat/>
    <w:rPr/>
  </w:style>
  <w:style w:type="character" w:styleId="Style22" w:customStyle="1">
    <w:name w:val="Интернет-ссылка"/>
    <w:basedOn w:val="DefaultParagraphFont"/>
    <w:uiPriority w:val="99"/>
    <w:unhideWhenUsed/>
    <w:rsid w:val="00086019"/>
    <w:rPr>
      <w:color w:val="0000FF" w:themeColor="hyperlink"/>
      <w:u w:val="single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369c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264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5"/>
    <w:uiPriority w:val="99"/>
    <w:unhideWhenUsed/>
    <w:rsid w:val="001e5fb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Style16"/>
    <w:uiPriority w:val="99"/>
    <w:unhideWhenUsed/>
    <w:rsid w:val="001e5fb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note Text"/>
    <w:basedOn w:val="Normal"/>
    <w:link w:val="Style17"/>
    <w:uiPriority w:val="99"/>
    <w:semiHidden/>
    <w:unhideWhenUsed/>
    <w:rsid w:val="002a4dd3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tchet_sfr@99.sfr.gov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3796-6481-4A7F-BF46-F3551E5F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LibreOffice/7.3.1.3$Windows_X86_64 LibreOffice_project/a69ca51ded25f3eefd52d7bf9a5fad8c90b87951</Application>
  <AppVersion>15.0000</AppVersion>
  <Pages>2</Pages>
  <Words>906</Words>
  <Characters>5958</Characters>
  <CharactersWithSpaces>6820</CharactersWithSpaces>
  <Paragraphs>36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2026-01-20T07:03:00Z</dcterms:created>
  <dc:creator>Хайрутдинов Руслан Равилевич</dc:creator>
  <dc:description/>
  <dc:language>ru-RU</dc:language>
  <cp:lastModifiedBy/>
  <dcterms:modified xsi:type="dcterms:W3CDTF">2026-01-21T11:56:38Z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