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F95BF3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06.12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F95BF3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06 декабря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F95BF3">
        <w:rPr>
          <w:rFonts w:ascii="Times New Roman" w:hAnsi="Times New Roman" w:cs="Times New Roman"/>
          <w:sz w:val="26"/>
        </w:rPr>
        <w:t>отокола заседания Комиссии от 29.11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F95BF3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F95BF3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</w:t>
      </w:r>
      <w:r w:rsidR="003C3849">
        <w:rPr>
          <w:rFonts w:ascii="Times New Roman" w:hAnsi="Times New Roman" w:cs="Times New Roman"/>
          <w:sz w:val="26"/>
        </w:rPr>
        <w:t xml:space="preserve"> реше</w:t>
      </w:r>
      <w:r>
        <w:rPr>
          <w:rFonts w:ascii="Times New Roman" w:hAnsi="Times New Roman" w:cs="Times New Roman"/>
          <w:sz w:val="26"/>
        </w:rPr>
        <w:t>ние рекомендовать начальнику управления ПФР исключить работника Управления из процесса рассмотрения заявления.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36EB3"/>
    <w:rsid w:val="003C3849"/>
    <w:rsid w:val="00863767"/>
    <w:rsid w:val="00B4778E"/>
    <w:rsid w:val="00F95BF3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2019-05-02T17:03:00Z</dcterms:modified>
</cp:coreProperties>
</file>