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Информация для с</w:t>
      </w:r>
      <w:r>
        <w:rPr>
          <w:rStyle w:val="14"/>
          <w:b/>
          <w:sz w:val="27"/>
          <w:szCs w:val="27"/>
        </w:rPr>
        <w:t>ельскохозяйственных товаропроизводителей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Особенности вида деятельности «Смешанное сельское хозяйство»</w:t>
        <w:br/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 xml:space="preserve">Сельскохозяйственные товаропроизводители с видом деятельности «Смешанное сельское хозяйство» должны учитывать особенности его применения. </w:t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Общероссийским классификатором видов экономической деятельности</w:t>
      </w:r>
      <w:r>
        <w:rPr>
          <w:rStyle w:val="FootnoteReference"/>
          <w:rFonts w:ascii="Times New Roman" w:hAnsi="Times New Roman"/>
          <w:sz w:val="27"/>
          <w:szCs w:val="27"/>
        </w:rPr>
        <w:footnoteReference w:id="2"/>
      </w:r>
      <w:r>
        <w:rPr>
          <w:rStyle w:val="14"/>
          <w:sz w:val="27"/>
          <w:szCs w:val="27"/>
        </w:rPr>
        <w:t xml:space="preserve"> установлено, что группировка «Смешанное сельское хозяйство» (код по ОКВЭД2 01.50) включает в себя растениеводство в сочетании с животноводством. </w:t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При этом, если прибыль от растениеводства или животноводства составляет 66 % и более от общей суммы прибыли, то сельскохозяйственный товаропроизводитель должен выбрать тот вид деятельности растениеводства или животноводства, по которому прибыль более 66 %, а не смешанное сельское хозяйство.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 xml:space="preserve">СФР на основе Классификации </w:t>
      </w:r>
      <w:r>
        <w:rPr>
          <w:sz w:val="27"/>
          <w:szCs w:val="27"/>
        </w:rPr>
        <w:t>видов эк</w:t>
      </w:r>
      <w:bookmarkStart w:id="0" w:name="_GoBack"/>
      <w:bookmarkEnd w:id="0"/>
      <w:r>
        <w:rPr>
          <w:sz w:val="27"/>
          <w:szCs w:val="27"/>
        </w:rPr>
        <w:t>ономической деятельности по классам профессионального риска</w:t>
      </w:r>
      <w:r>
        <w:rPr>
          <w:rStyle w:val="FootnoteReference"/>
          <w:sz w:val="27"/>
          <w:szCs w:val="27"/>
        </w:rPr>
        <w:footnoteReference w:id="3"/>
      </w:r>
      <w:r>
        <w:rPr>
          <w:rStyle w:val="14"/>
          <w:sz w:val="27"/>
          <w:szCs w:val="27"/>
        </w:rPr>
        <w:t xml:space="preserve"> устанавливает страховой тариф на обязательное социальное страхование от несчастных случаев на производстве и профессиональных заболеваний, который соответствует классу профессионального риска основного вида деятельности страхователя.</w:t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Вид деятельности «Смешанное сельское хозяйство» относится к 5 классу профессионального риска, а виды деятельности, которые связаны с растениеводством или животноводством, отнесены к более высоким классам и им соответствуют более высокие страховые тарифы.</w:t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Для снижения финансовой нагрузки сельскохозяйственные товаропроизводители вправе обратиться до 15 апреля в территориальный орган СФР с заявлением о выделении в самостоятельные классификационные единицы (СКЕ)</w:t>
      </w:r>
      <w:r>
        <w:rPr>
          <w:rStyle w:val="FootnoteReference"/>
          <w:rFonts w:ascii="Times New Roman" w:hAnsi="Times New Roman"/>
          <w:sz w:val="27"/>
          <w:szCs w:val="27"/>
        </w:rPr>
        <w:footnoteReference w:id="4"/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Style w:val="14"/>
          <w:sz w:val="27"/>
          <w:szCs w:val="27"/>
        </w:rPr>
        <w:t>структурных подразделений,</w:t>
      </w:r>
      <w:r>
        <w:rPr>
          <w:sz w:val="27"/>
          <w:szCs w:val="27"/>
        </w:rPr>
        <w:t xml:space="preserve"> </w:t>
      </w:r>
      <w:r>
        <w:rPr>
          <w:rStyle w:val="14"/>
          <w:sz w:val="27"/>
          <w:szCs w:val="27"/>
        </w:rPr>
        <w:t>которые осуществляют другие виды деятельности, отличные от основного вида деятельности организации.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Условием для выделения СКЕ является ведение обособленного бухгалтерского учета по виду деятельности, отличному от основного вида деятельности страхователя. При этом такой вид деятельности обязательно должен быть указан у организации в ЕГРЮЛ. Также страхователь не должен иметь на день подачи заявления задолженности</w:t>
      </w:r>
      <w:r>
        <w:rPr>
          <w:sz w:val="27"/>
          <w:szCs w:val="27"/>
        </w:rPr>
        <w:t xml:space="preserve"> по уплате страховых взносов, пени и штрафов по обязательному социальному страхованию от несчастных случаев на производстве и профессиональных заболеваний</w:t>
      </w:r>
      <w:r>
        <w:rPr>
          <w:rStyle w:val="14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Style w:val="14"/>
          <w:sz w:val="27"/>
          <w:szCs w:val="27"/>
        </w:rPr>
      </w:pPr>
      <w:r>
        <w:rPr>
          <w:rStyle w:val="14"/>
          <w:sz w:val="27"/>
          <w:szCs w:val="27"/>
        </w:rPr>
        <w:t>Территориальный орган СФР при соблюдении всех условий установит соответствующий страховой тариф СКЕ, что позволит сельскохозяйственному товаропроизводителю исчислять страховые взносы по нескольким страховым тарифам, в том числе с учетом профессионального риска работников СКЕ.</w:t>
      </w:r>
    </w:p>
    <w:sectPr>
      <w:footnotePr>
        <w:numFmt w:val="decimal"/>
      </w:footnotePr>
      <w:type w:val="nextPage"/>
      <w:pgSz w:w="11906" w:h="16838"/>
      <w:pgMar w:left="1418" w:right="851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Web"/>
        <w:tabs>
          <w:tab w:val="clear" w:pos="708"/>
          <w:tab w:val="left" w:pos="142" w:leader="none"/>
        </w:tabs>
        <w:spacing w:lineRule="atLeast" w:line="288" w:beforeAutospacing="0" w:before="0" w:afterAutospacing="0" w:after="0"/>
        <w:jc w:val="both"/>
        <w:rPr>
          <w:sz w:val="20"/>
          <w:szCs w:val="20"/>
        </w:rPr>
      </w:pPr>
      <w:r>
        <w:rPr>
          <w:rStyle w:val="Style15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Приказ Федерального агентства по техническому регулированию и метрологии от 31 января 2014 г. № 14-ст.</w:t>
      </w:r>
    </w:p>
  </w:footnote>
  <w:footnote w:id="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Приказ Минтруда России от 30 декабря 2016 г. № 851н «Об утверждении Классификации видов экономической деятельности по классам профессионального риска».</w:t>
      </w:r>
    </w:p>
  </w:footnote>
  <w:footnote w:id="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Приказ Минтруда России от 24 июля 2025 г. № 463н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5cd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f51cc4"/>
    <w:rPr>
      <w:sz w:val="20"/>
      <w:szCs w:val="20"/>
    </w:rPr>
  </w:style>
  <w:style w:type="character" w:styleId="Style15">
    <w:name w:val="Символ сноски"/>
    <w:basedOn w:val="DefaultParagraphFont"/>
    <w:uiPriority w:val="99"/>
    <w:unhideWhenUsed/>
    <w:qFormat/>
    <w:rsid w:val="00f51cc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5" w:customStyle="1">
    <w:name w:val="Основной шрифт абзаца15"/>
    <w:qFormat/>
    <w:rsid w:val="00bc706c"/>
    <w:rPr/>
  </w:style>
  <w:style w:type="character" w:styleId="4" w:customStyle="1">
    <w:name w:val="Основной шрифт абзаца4"/>
    <w:qFormat/>
    <w:rsid w:val="009b4651"/>
    <w:rPr/>
  </w:style>
  <w:style w:type="character" w:styleId="WW-" w:customStyle="1">
    <w:name w:val="WW-Основной шрифт абзаца"/>
    <w:qFormat/>
    <w:rsid w:val="009b4651"/>
    <w:rPr/>
  </w:style>
  <w:style w:type="character" w:styleId="3" w:customStyle="1">
    <w:name w:val="Основной шрифт абзаца3"/>
    <w:qFormat/>
    <w:rsid w:val="009b4651"/>
    <w:rPr/>
  </w:style>
  <w:style w:type="character" w:styleId="Style16" w:customStyle="1">
    <w:name w:val="Основной текст Знак"/>
    <w:basedOn w:val="DefaultParagraphFont"/>
    <w:qFormat/>
    <w:rsid w:val="009b4651"/>
    <w:rPr/>
  </w:style>
  <w:style w:type="character" w:styleId="14" w:customStyle="1">
    <w:name w:val="Стиль 14 пт"/>
    <w:basedOn w:val="DefaultParagraphFont"/>
    <w:qFormat/>
    <w:rsid w:val="00252b42"/>
    <w:rPr>
      <w:rFonts w:ascii="Times New Roman" w:hAnsi="Times New Roman"/>
      <w:sz w:val="28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d21039"/>
    <w:rPr>
      <w:rFonts w:ascii="Segoe UI" w:hAnsi="Segoe UI" w:cs="Segoe UI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9b4651"/>
    <w:pPr>
      <w:suppressAutoHyphens w:val="true"/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f51cc4"/>
    <w:pPr>
      <w:spacing w:lineRule="auto" w:line="240" w:before="0" w:after="0"/>
    </w:pPr>
    <w:rPr>
      <w:sz w:val="20"/>
      <w:szCs w:val="20"/>
    </w:rPr>
  </w:style>
  <w:style w:type="paragraph" w:styleId="Textbody" w:customStyle="1">
    <w:name w:val="Text body"/>
    <w:basedOn w:val="Normal"/>
    <w:qFormat/>
    <w:rsid w:val="009b4651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Times New Roman" w:cs="Times New Roman"/>
      <w:kern w:val="2"/>
      <w:sz w:val="20"/>
      <w:szCs w:val="20"/>
      <w:lang w:bidi="en-US"/>
    </w:rPr>
  </w:style>
  <w:style w:type="paragraph" w:styleId="Style21" w:customStyle="1">
    <w:name w:val="Содержимое таблицы"/>
    <w:basedOn w:val="Normal"/>
    <w:qFormat/>
    <w:rsid w:val="009b4651"/>
    <w:pPr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rial" w:cs="Times New Roman"/>
      <w:kern w:val="2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a27c1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210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5556-C260-4CCF-A15B-BBA7BA1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366</Words>
  <Characters>2745</Characters>
  <CharactersWithSpaces>3104</CharactersWithSpaces>
  <Paragraphs>13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2026-02-17T08:29:00Z</dcterms:created>
  <dc:creator>Сидорова Ольга Григорьевна</dc:creator>
  <dc:description/>
  <dc:language>ru-RU</dc:language>
  <cp:lastModifiedBy>Сидорова Ольга Григорьевна</cp:lastModifiedBy>
  <cp:lastPrinted>2026-02-17T08:25:00Z</cp:lastPrinted>
  <dcterms:modified xsi:type="dcterms:W3CDTF">2026-02-17T08:29:00Z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