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color w:val="365F91"/>
          <w:sz w:val="26"/>
          <w:szCs w:val="26"/>
        </w:rPr>
      </w:pPr>
      <w:r>
        <w:rPr>
          <w:noProof/>
        </w:rPr>
        <w:drawing>
          <wp:anchor distT="0" distB="0" distL="114300" distR="114300" simplePos="0" relativeHeight="251659264" behindDoc="0" locked="0" layoutInCell="1" allowOverlap="1">
            <wp:simplePos x="0" y="0"/>
            <wp:positionH relativeFrom="margin">
              <wp:posOffset>-160020</wp:posOffset>
            </wp:positionH>
            <wp:positionV relativeFrom="margin">
              <wp:posOffset>-84455</wp:posOffset>
            </wp:positionV>
            <wp:extent cx="1274445" cy="771525"/>
            <wp:effectExtent l="0" t="0" r="1905" b="9525"/>
            <wp:wrapSquare wrapText="bothSides"/>
            <wp:docPr id="1" name="Рисунок 1" descr="Описание: cid:image002.png@01D925A7.4CE2A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id:image002.png@01D925A7.4CE2ABF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7444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jc w:val="center"/>
        <w:rPr>
          <w:b/>
          <w:color w:val="0070C0"/>
          <w:sz w:val="26"/>
          <w:szCs w:val="26"/>
        </w:rPr>
      </w:pPr>
      <w:r>
        <w:rPr>
          <w:b/>
          <w:color w:val="0070C0"/>
          <w:sz w:val="26"/>
          <w:szCs w:val="26"/>
        </w:rPr>
        <w:t xml:space="preserve">Отделение Фонда пенсионного и социального страхования </w:t>
      </w:r>
    </w:p>
    <w:p>
      <w:pPr>
        <w:jc w:val="center"/>
        <w:rPr>
          <w:b/>
          <w:color w:val="0070C0"/>
          <w:sz w:val="26"/>
          <w:szCs w:val="26"/>
        </w:rPr>
      </w:pPr>
      <w:r>
        <w:rPr>
          <w:b/>
          <w:color w:val="0070C0"/>
          <w:sz w:val="26"/>
          <w:szCs w:val="26"/>
        </w:rPr>
        <w:t>Российской Федерации по Санкт-Петербургу и Ленинградской области</w:t>
      </w:r>
    </w:p>
    <w:p>
      <w:pPr>
        <w:jc w:val="center"/>
        <w:rPr>
          <w:b/>
          <w:color w:val="C00000"/>
          <w:sz w:val="28"/>
          <w:szCs w:val="28"/>
        </w:rPr>
      </w:pPr>
    </w:p>
    <w:p>
      <w:pPr>
        <w:jc w:val="center"/>
        <w:rPr>
          <w:b/>
          <w:color w:val="C00000"/>
          <w:sz w:val="26"/>
          <w:szCs w:val="26"/>
        </w:rPr>
      </w:pPr>
      <w:r>
        <w:rPr>
          <w:b/>
          <w:color w:val="C00000"/>
          <w:sz w:val="26"/>
          <w:szCs w:val="26"/>
        </w:rPr>
        <w:t>Информирование о внесении изменений в П</w:t>
      </w:r>
      <w:bookmarkStart w:id="0" w:name="_GoBack"/>
      <w:bookmarkEnd w:id="0"/>
      <w:r>
        <w:rPr>
          <w:b/>
          <w:color w:val="C00000"/>
          <w:sz w:val="26"/>
          <w:szCs w:val="26"/>
        </w:rPr>
        <w:t>орядок электронного документооборота между страхователями и Фондом пенсионного и социального страхования Российской Федерации при представлении сведений для индивидуального (персонифицированного) учета, утвержденный приказом Фонда пенсионного и социального страхования Российской Федерации от 7 ноября 2023 года № 2200</w:t>
      </w:r>
    </w:p>
    <w:p>
      <w:pPr>
        <w:ind w:firstLine="340"/>
        <w:jc w:val="both"/>
        <w:rPr>
          <w:sz w:val="24"/>
          <w:szCs w:val="24"/>
        </w:rPr>
      </w:pPr>
    </w:p>
    <w:p>
      <w:pPr>
        <w:ind w:firstLine="709"/>
        <w:jc w:val="both"/>
        <w:rPr>
          <w:sz w:val="24"/>
          <w:szCs w:val="24"/>
        </w:rPr>
      </w:pPr>
      <w:proofErr w:type="gramStart"/>
      <w:r>
        <w:rPr>
          <w:sz w:val="24"/>
          <w:szCs w:val="24"/>
        </w:rPr>
        <w:t>Приказом Фонда пенсионного и социального страхования Российской Федерации от 29.05.2026 2023 года № 651</w:t>
      </w:r>
      <w:r>
        <w:rPr>
          <w:rStyle w:val="af"/>
          <w:sz w:val="24"/>
          <w:szCs w:val="24"/>
        </w:rPr>
        <w:footnoteReference w:id="1"/>
      </w:r>
      <w:r>
        <w:rPr>
          <w:sz w:val="24"/>
          <w:szCs w:val="24"/>
        </w:rPr>
        <w:t xml:space="preserve"> в Порядок электронного документооборота между страхователями и Фондом пенсионного и социального страхования Российской Федерации при представлении сведений для индивидуального (персонифицированного) учета, утвержденный Приказом СФР от 07.11.2023 № 2200</w:t>
      </w:r>
      <w:r>
        <w:rPr>
          <w:rStyle w:val="af"/>
          <w:sz w:val="24"/>
          <w:szCs w:val="24"/>
        </w:rPr>
        <w:footnoteReference w:id="2"/>
      </w:r>
      <w:r>
        <w:rPr>
          <w:sz w:val="24"/>
          <w:szCs w:val="24"/>
        </w:rPr>
        <w:t>, внесены изменения в порядок регистрации страхователей в целях обеспечения электронного документооборота.</w:t>
      </w:r>
      <w:proofErr w:type="gramEnd"/>
    </w:p>
    <w:p>
      <w:pPr>
        <w:autoSpaceDE w:val="0"/>
        <w:autoSpaceDN w:val="0"/>
        <w:adjustRightInd w:val="0"/>
        <w:ind w:firstLine="709"/>
        <w:jc w:val="both"/>
        <w:rPr>
          <w:sz w:val="24"/>
          <w:szCs w:val="24"/>
        </w:rPr>
      </w:pPr>
      <w:r>
        <w:rPr>
          <w:sz w:val="24"/>
          <w:szCs w:val="24"/>
        </w:rPr>
        <w:t xml:space="preserve">В соответствии с пунктом 4 раздела 2 Порядка № 2200 (в редакции, вступившей в силу 14.07.2026) регистрация в системе электронного документооборота СФР страхователей (представителей страхователей), использующих услуги операторов электронного документооборота, осуществляется </w:t>
      </w:r>
      <w:proofErr w:type="spellStart"/>
      <w:r>
        <w:rPr>
          <w:sz w:val="24"/>
          <w:szCs w:val="24"/>
        </w:rPr>
        <w:t>беззаявительно</w:t>
      </w:r>
      <w:proofErr w:type="spellEnd"/>
      <w:r>
        <w:rPr>
          <w:sz w:val="24"/>
          <w:szCs w:val="24"/>
        </w:rPr>
        <w:t xml:space="preserve"> при первичном представлении индивидуальных сведений в форме электронного документа.</w:t>
      </w:r>
    </w:p>
    <w:p>
      <w:pPr>
        <w:autoSpaceDE w:val="0"/>
        <w:autoSpaceDN w:val="0"/>
        <w:adjustRightInd w:val="0"/>
        <w:ind w:firstLine="709"/>
        <w:jc w:val="both"/>
        <w:rPr>
          <w:sz w:val="24"/>
          <w:szCs w:val="24"/>
        </w:rPr>
      </w:pPr>
      <w:r>
        <w:rPr>
          <w:sz w:val="24"/>
          <w:szCs w:val="24"/>
        </w:rPr>
        <w:t>Пункты 5 - 9 раздела 2 Порядка № 2200 признаны утратившими силу.</w:t>
      </w:r>
    </w:p>
    <w:sectPr>
      <w:pgSz w:w="11906" w:h="16838"/>
      <w:pgMar w:top="567"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ad"/>
        <w:jc w:val="both"/>
      </w:pPr>
      <w:r>
        <w:rPr>
          <w:rStyle w:val="af"/>
        </w:rPr>
        <w:footnoteRef/>
      </w:r>
      <w:r>
        <w:t xml:space="preserve"> «О внесении изменений в Порядок электронного документооборота между страхователями и Фондом пенсионного и социального страхования Российской Федерации при представлении сведений для индивидуального (персонифицированного) учета, утвержденный приказом Фонда пенсионного и социального страхования Российской Федерации от 7 ноября 2023 года № 2200» (Зарегистрировано в Минюсте России 02.07.2026 N 87356)</w:t>
      </w:r>
    </w:p>
  </w:footnote>
  <w:footnote w:id="2">
    <w:p>
      <w:pPr>
        <w:pStyle w:val="ad"/>
      </w:pPr>
      <w:r>
        <w:rPr>
          <w:rStyle w:val="af"/>
        </w:rPr>
        <w:footnoteRef/>
      </w:r>
      <w:r>
        <w:t xml:space="preserve"> Далее – Порядок № 2200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EB2FB62"/>
    <w:lvl w:ilvl="0">
      <w:numFmt w:val="decimal"/>
      <w:lvlText w:val="*"/>
      <w:lvlJc w:val="left"/>
    </w:lvl>
  </w:abstractNum>
  <w:abstractNum w:abstractNumId="1">
    <w:nsid w:val="6A9359A3"/>
    <w:multiLevelType w:val="singleLevel"/>
    <w:tmpl w:val="83582512"/>
    <w:lvl w:ilvl="0">
      <w:start w:val="1"/>
      <w:numFmt w:val="decimal"/>
      <w:lvlText w:val="%1."/>
      <w:legacy w:legacy="1" w:legacySpace="0" w:legacyIndent="221"/>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346"/>
        <w:lvlJc w:val="left"/>
        <w:rPr>
          <w:rFonts w:ascii="Times New Roman" w:hAnsi="Times New Roman" w:hint="default"/>
        </w:rPr>
      </w:lvl>
    </w:lvlOverride>
  </w:num>
  <w:num w:numId="2">
    <w:abstractNumId w:val="1"/>
  </w:num>
  <w:num w:numId="3">
    <w:abstractNumId w:val="0"/>
    <w:lvlOverride w:ilvl="0">
      <w:lvl w:ilvl="0">
        <w:start w:val="65535"/>
        <w:numFmt w:val="bullet"/>
        <w:lvlText w:val="•"/>
        <w:legacy w:legacy="1" w:legacySpace="0" w:legacyIndent="355"/>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pPr>
      <w:snapToGrid w:val="0"/>
    </w:pPr>
  </w:style>
  <w:style w:type="paragraph" w:styleId="a3">
    <w:name w:val="header"/>
    <w:basedOn w:val="a"/>
    <w:link w:val="a4"/>
    <w:uiPriority w:val="99"/>
    <w:unhideWhenUsed/>
    <w:pPr>
      <w:tabs>
        <w:tab w:val="center" w:pos="4677"/>
        <w:tab w:val="right" w:pos="9355"/>
      </w:tabs>
    </w:pPr>
  </w:style>
  <w:style w:type="character" w:customStyle="1" w:styleId="14">
    <w:name w:val="Стиль 14 пт"/>
    <w:basedOn w:val="a0"/>
    <w:rPr>
      <w:rFonts w:ascii="Times New Roman" w:hAnsi="Times New Roman"/>
      <w:sz w:val="28"/>
    </w:rPr>
  </w:style>
  <w:style w:type="character" w:styleId="a5">
    <w:name w:val="Hyperlink"/>
    <w:rPr>
      <w:color w:val="0000FF"/>
      <w:u w:val="single"/>
    </w:rPr>
  </w:style>
  <w:style w:type="paragraph" w:styleId="a6">
    <w:name w:val="Balloon Text"/>
    <w:basedOn w:val="a"/>
    <w:semiHidden/>
    <w:rPr>
      <w:rFonts w:ascii="Tahoma" w:hAnsi="Tahoma" w:cs="Tahoma"/>
      <w:sz w:val="16"/>
      <w:szCs w:val="16"/>
    </w:rPr>
  </w:style>
  <w:style w:type="character" w:customStyle="1" w:styleId="a4">
    <w:name w:val="Верхний колонтитул Знак"/>
    <w:basedOn w:val="a0"/>
    <w:link w:val="a3"/>
    <w:uiPriority w:val="99"/>
  </w:style>
  <w:style w:type="table" w:styleId="a7">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basedOn w:val="a"/>
    <w:pPr>
      <w:spacing w:after="160" w:line="240" w:lineRule="exact"/>
    </w:pPr>
    <w:rPr>
      <w:rFonts w:ascii="Verdana" w:hAnsi="Verdana" w:cs="Verdana"/>
      <w:lang w:val="en-US" w:eastAsia="en-US"/>
    </w:rPr>
  </w:style>
  <w:style w:type="character" w:customStyle="1" w:styleId="FontStyle11">
    <w:name w:val="Font Style11"/>
    <w:uiPriority w:val="99"/>
    <w:rPr>
      <w:rFonts w:ascii="Times New Roman" w:hAnsi="Times New Roman" w:cs="Times New Roman"/>
      <w:sz w:val="26"/>
      <w:szCs w:val="26"/>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style>
  <w:style w:type="paragraph" w:styleId="ab">
    <w:name w:val="Normal (Web)"/>
    <w:basedOn w:val="a"/>
    <w:uiPriority w:val="99"/>
    <w:semiHidden/>
    <w:unhideWhenUsed/>
    <w:pPr>
      <w:spacing w:before="100" w:beforeAutospacing="1" w:after="100" w:afterAutospacing="1"/>
    </w:pPr>
    <w:rPr>
      <w:sz w:val="24"/>
      <w:szCs w:val="24"/>
    </w:rPr>
  </w:style>
  <w:style w:type="paragraph" w:styleId="ac">
    <w:name w:val="List Paragraph"/>
    <w:basedOn w:val="a"/>
    <w:uiPriority w:val="34"/>
    <w:qFormat/>
    <w:pPr>
      <w:suppressAutoHyphens/>
      <w:ind w:left="720"/>
      <w:contextualSpacing/>
    </w:pPr>
    <w:rPr>
      <w:lang w:eastAsia="ar-SA"/>
    </w:rPr>
  </w:style>
  <w:style w:type="paragraph" w:styleId="ad">
    <w:name w:val="footnote text"/>
    <w:aliases w:val="Footnote Text Char Знак,Footnote Text Char Знак Знак,Footnote Text Char Знак Знак Знак Знак,Footnote Text Char Знак Знак Знак Знак Char,Footnote Text Char Знак Знак Знак Знак Char Char,Çíàê Çíàê Çíàê Çíàê,Знак5,Текст сноски45"/>
    <w:basedOn w:val="a"/>
    <w:link w:val="ae"/>
    <w:uiPriority w:val="99"/>
    <w:qFormat/>
  </w:style>
  <w:style w:type="character" w:customStyle="1" w:styleId="ae">
    <w:name w:val="Текст сноски Знак"/>
    <w:aliases w:val="Footnote Text Char Знак Знак1,Footnote Text Char Знак Знак Знак,Footnote Text Char Знак Знак Знак Знак Знак,Footnote Text Char Знак Знак Знак Знак Char Знак,Footnote Text Char Знак Знак Знак Знак Char Char Знак,Çíàê Çíàê Çíàê Çíàê Знак"/>
    <w:basedOn w:val="a0"/>
    <w:link w:val="ad"/>
    <w:uiPriority w:val="99"/>
    <w:qFormat/>
  </w:style>
  <w:style w:type="character" w:styleId="af">
    <w:name w:val="footnote reference"/>
    <w:aliases w:val="Знак сноски-FN,SUPERS,Знак сноски 1,Ciae niinee-FN,16 Point,Ciae niinee 1,Footnote Reference Number,Referencia nota al pie,Superscript 6 Point,Used by Word for Help footnote symbols,fr,Ссылка на сноску 45,анкета сноска,Footnote Reference_LVL"/>
    <w:uiPriority w:val="99"/>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pPr>
      <w:snapToGrid w:val="0"/>
    </w:pPr>
  </w:style>
  <w:style w:type="paragraph" w:styleId="a3">
    <w:name w:val="header"/>
    <w:basedOn w:val="a"/>
    <w:link w:val="a4"/>
    <w:uiPriority w:val="99"/>
    <w:unhideWhenUsed/>
    <w:pPr>
      <w:tabs>
        <w:tab w:val="center" w:pos="4677"/>
        <w:tab w:val="right" w:pos="9355"/>
      </w:tabs>
    </w:pPr>
  </w:style>
  <w:style w:type="character" w:customStyle="1" w:styleId="14">
    <w:name w:val="Стиль 14 пт"/>
    <w:basedOn w:val="a0"/>
    <w:rPr>
      <w:rFonts w:ascii="Times New Roman" w:hAnsi="Times New Roman"/>
      <w:sz w:val="28"/>
    </w:rPr>
  </w:style>
  <w:style w:type="character" w:styleId="a5">
    <w:name w:val="Hyperlink"/>
    <w:rPr>
      <w:color w:val="0000FF"/>
      <w:u w:val="single"/>
    </w:rPr>
  </w:style>
  <w:style w:type="paragraph" w:styleId="a6">
    <w:name w:val="Balloon Text"/>
    <w:basedOn w:val="a"/>
    <w:semiHidden/>
    <w:rPr>
      <w:rFonts w:ascii="Tahoma" w:hAnsi="Tahoma" w:cs="Tahoma"/>
      <w:sz w:val="16"/>
      <w:szCs w:val="16"/>
    </w:rPr>
  </w:style>
  <w:style w:type="character" w:customStyle="1" w:styleId="a4">
    <w:name w:val="Верхний колонтитул Знак"/>
    <w:basedOn w:val="a0"/>
    <w:link w:val="a3"/>
    <w:uiPriority w:val="99"/>
  </w:style>
  <w:style w:type="table" w:styleId="a7">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basedOn w:val="a"/>
    <w:pPr>
      <w:spacing w:after="160" w:line="240" w:lineRule="exact"/>
    </w:pPr>
    <w:rPr>
      <w:rFonts w:ascii="Verdana" w:hAnsi="Verdana" w:cs="Verdana"/>
      <w:lang w:val="en-US" w:eastAsia="en-US"/>
    </w:rPr>
  </w:style>
  <w:style w:type="character" w:customStyle="1" w:styleId="FontStyle11">
    <w:name w:val="Font Style11"/>
    <w:uiPriority w:val="99"/>
    <w:rPr>
      <w:rFonts w:ascii="Times New Roman" w:hAnsi="Times New Roman" w:cs="Times New Roman"/>
      <w:sz w:val="26"/>
      <w:szCs w:val="26"/>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style>
  <w:style w:type="paragraph" w:styleId="ab">
    <w:name w:val="Normal (Web)"/>
    <w:basedOn w:val="a"/>
    <w:uiPriority w:val="99"/>
    <w:semiHidden/>
    <w:unhideWhenUsed/>
    <w:pPr>
      <w:spacing w:before="100" w:beforeAutospacing="1" w:after="100" w:afterAutospacing="1"/>
    </w:pPr>
    <w:rPr>
      <w:sz w:val="24"/>
      <w:szCs w:val="24"/>
    </w:rPr>
  </w:style>
  <w:style w:type="paragraph" w:styleId="ac">
    <w:name w:val="List Paragraph"/>
    <w:basedOn w:val="a"/>
    <w:uiPriority w:val="34"/>
    <w:qFormat/>
    <w:pPr>
      <w:suppressAutoHyphens/>
      <w:ind w:left="720"/>
      <w:contextualSpacing/>
    </w:pPr>
    <w:rPr>
      <w:lang w:eastAsia="ar-SA"/>
    </w:rPr>
  </w:style>
  <w:style w:type="paragraph" w:styleId="ad">
    <w:name w:val="footnote text"/>
    <w:aliases w:val="Footnote Text Char Знак,Footnote Text Char Знак Знак,Footnote Text Char Знак Знак Знак Знак,Footnote Text Char Знак Знак Знак Знак Char,Footnote Text Char Знак Знак Знак Знак Char Char,Çíàê Çíàê Çíàê Çíàê,Знак5,Текст сноски45"/>
    <w:basedOn w:val="a"/>
    <w:link w:val="ae"/>
    <w:uiPriority w:val="99"/>
    <w:qFormat/>
  </w:style>
  <w:style w:type="character" w:customStyle="1" w:styleId="ae">
    <w:name w:val="Текст сноски Знак"/>
    <w:aliases w:val="Footnote Text Char Знак Знак1,Footnote Text Char Знак Знак Знак,Footnote Text Char Знак Знак Знак Знак Знак,Footnote Text Char Знак Знак Знак Знак Char Знак,Footnote Text Char Знак Знак Знак Знак Char Char Знак,Çíàê Çíàê Çíàê Çíàê Знак"/>
    <w:basedOn w:val="a0"/>
    <w:link w:val="ad"/>
    <w:uiPriority w:val="99"/>
    <w:qFormat/>
  </w:style>
  <w:style w:type="character" w:styleId="af">
    <w:name w:val="footnote reference"/>
    <w:aliases w:val="Знак сноски-FN,SUPERS,Знак сноски 1,Ciae niinee-FN,16 Point,Ciae niinee 1,Footnote Reference Number,Referencia nota al pie,Superscript 6 Point,Used by Word for Help footnote symbols,fr,Ссылка на сноску 45,анкета сноска,Footnote Reference_LVL"/>
    <w:uiPriority w:val="99"/>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80154">
      <w:bodyDiv w:val="1"/>
      <w:marLeft w:val="0"/>
      <w:marRight w:val="0"/>
      <w:marTop w:val="0"/>
      <w:marBottom w:val="0"/>
      <w:divBdr>
        <w:top w:val="none" w:sz="0" w:space="0" w:color="auto"/>
        <w:left w:val="none" w:sz="0" w:space="0" w:color="auto"/>
        <w:bottom w:val="none" w:sz="0" w:space="0" w:color="auto"/>
        <w:right w:val="none" w:sz="0" w:space="0" w:color="auto"/>
      </w:divBdr>
    </w:div>
    <w:div w:id="204605156">
      <w:bodyDiv w:val="1"/>
      <w:marLeft w:val="0"/>
      <w:marRight w:val="0"/>
      <w:marTop w:val="0"/>
      <w:marBottom w:val="0"/>
      <w:divBdr>
        <w:top w:val="none" w:sz="0" w:space="0" w:color="auto"/>
        <w:left w:val="none" w:sz="0" w:space="0" w:color="auto"/>
        <w:bottom w:val="none" w:sz="0" w:space="0" w:color="auto"/>
        <w:right w:val="none" w:sz="0" w:space="0" w:color="auto"/>
      </w:divBdr>
    </w:div>
    <w:div w:id="732193894">
      <w:bodyDiv w:val="1"/>
      <w:marLeft w:val="0"/>
      <w:marRight w:val="0"/>
      <w:marTop w:val="0"/>
      <w:marBottom w:val="0"/>
      <w:divBdr>
        <w:top w:val="none" w:sz="0" w:space="0" w:color="auto"/>
        <w:left w:val="none" w:sz="0" w:space="0" w:color="auto"/>
        <w:bottom w:val="none" w:sz="0" w:space="0" w:color="auto"/>
        <w:right w:val="none" w:sz="0" w:space="0" w:color="auto"/>
      </w:divBdr>
      <w:divsChild>
        <w:div w:id="852887553">
          <w:marLeft w:val="0"/>
          <w:marRight w:val="0"/>
          <w:marTop w:val="0"/>
          <w:marBottom w:val="0"/>
          <w:divBdr>
            <w:top w:val="none" w:sz="0" w:space="0" w:color="auto"/>
            <w:left w:val="none" w:sz="0" w:space="0" w:color="auto"/>
            <w:bottom w:val="none" w:sz="0" w:space="0" w:color="auto"/>
            <w:right w:val="none" w:sz="0" w:space="0" w:color="auto"/>
          </w:divBdr>
          <w:divsChild>
            <w:div w:id="630063485">
              <w:marLeft w:val="0"/>
              <w:marRight w:val="0"/>
              <w:marTop w:val="0"/>
              <w:marBottom w:val="0"/>
              <w:divBdr>
                <w:top w:val="none" w:sz="0" w:space="0" w:color="auto"/>
                <w:left w:val="none" w:sz="0" w:space="0" w:color="auto"/>
                <w:bottom w:val="none" w:sz="0" w:space="0" w:color="auto"/>
                <w:right w:val="none" w:sz="0" w:space="0" w:color="auto"/>
              </w:divBdr>
              <w:divsChild>
                <w:div w:id="116681359">
                  <w:marLeft w:val="0"/>
                  <w:marRight w:val="0"/>
                  <w:marTop w:val="0"/>
                  <w:marBottom w:val="0"/>
                  <w:divBdr>
                    <w:top w:val="none" w:sz="0" w:space="0" w:color="auto"/>
                    <w:left w:val="none" w:sz="0" w:space="0" w:color="auto"/>
                    <w:bottom w:val="none" w:sz="0" w:space="0" w:color="auto"/>
                    <w:right w:val="none" w:sz="0" w:space="0" w:color="auto"/>
                  </w:divBdr>
                  <w:divsChild>
                    <w:div w:id="1434206416">
                      <w:marLeft w:val="0"/>
                      <w:marRight w:val="0"/>
                      <w:marTop w:val="0"/>
                      <w:marBottom w:val="0"/>
                      <w:divBdr>
                        <w:top w:val="none" w:sz="0" w:space="0" w:color="auto"/>
                        <w:left w:val="none" w:sz="0" w:space="0" w:color="auto"/>
                        <w:bottom w:val="none" w:sz="0" w:space="0" w:color="auto"/>
                        <w:right w:val="none" w:sz="0" w:space="0" w:color="auto"/>
                      </w:divBdr>
                      <w:divsChild>
                        <w:div w:id="2016610910">
                          <w:marLeft w:val="0"/>
                          <w:marRight w:val="0"/>
                          <w:marTop w:val="0"/>
                          <w:marBottom w:val="0"/>
                          <w:divBdr>
                            <w:top w:val="none" w:sz="0" w:space="0" w:color="auto"/>
                            <w:left w:val="none" w:sz="0" w:space="0" w:color="auto"/>
                            <w:bottom w:val="none" w:sz="0" w:space="0" w:color="auto"/>
                            <w:right w:val="none" w:sz="0" w:space="0" w:color="auto"/>
                          </w:divBdr>
                          <w:divsChild>
                            <w:div w:id="780144794">
                              <w:marLeft w:val="0"/>
                              <w:marRight w:val="0"/>
                              <w:marTop w:val="0"/>
                              <w:marBottom w:val="0"/>
                              <w:divBdr>
                                <w:top w:val="none" w:sz="0" w:space="0" w:color="auto"/>
                                <w:left w:val="none" w:sz="0" w:space="0" w:color="auto"/>
                                <w:bottom w:val="none" w:sz="0" w:space="0" w:color="auto"/>
                                <w:right w:val="none" w:sz="0" w:space="0" w:color="auto"/>
                              </w:divBdr>
                              <w:divsChild>
                                <w:div w:id="1905987956">
                                  <w:marLeft w:val="0"/>
                                  <w:marRight w:val="0"/>
                                  <w:marTop w:val="0"/>
                                  <w:marBottom w:val="0"/>
                                  <w:divBdr>
                                    <w:top w:val="none" w:sz="0" w:space="0" w:color="auto"/>
                                    <w:left w:val="none" w:sz="0" w:space="0" w:color="auto"/>
                                    <w:bottom w:val="none" w:sz="0" w:space="0" w:color="auto"/>
                                    <w:right w:val="none" w:sz="0" w:space="0" w:color="auto"/>
                                  </w:divBdr>
                                  <w:divsChild>
                                    <w:div w:id="449975964">
                                      <w:marLeft w:val="0"/>
                                      <w:marRight w:val="0"/>
                                      <w:marTop w:val="0"/>
                                      <w:marBottom w:val="0"/>
                                      <w:divBdr>
                                        <w:top w:val="none" w:sz="0" w:space="0" w:color="auto"/>
                                        <w:left w:val="none" w:sz="0" w:space="0" w:color="auto"/>
                                        <w:bottom w:val="none" w:sz="0" w:space="0" w:color="auto"/>
                                        <w:right w:val="none" w:sz="0" w:space="0" w:color="auto"/>
                                      </w:divBdr>
                                      <w:divsChild>
                                        <w:div w:id="1381902513">
                                          <w:marLeft w:val="0"/>
                                          <w:marRight w:val="0"/>
                                          <w:marTop w:val="0"/>
                                          <w:marBottom w:val="0"/>
                                          <w:divBdr>
                                            <w:top w:val="none" w:sz="0" w:space="0" w:color="auto"/>
                                            <w:left w:val="none" w:sz="0" w:space="0" w:color="auto"/>
                                            <w:bottom w:val="none" w:sz="0" w:space="0" w:color="auto"/>
                                            <w:right w:val="none" w:sz="0" w:space="0" w:color="auto"/>
                                          </w:divBdr>
                                          <w:divsChild>
                                            <w:div w:id="1221599136">
                                              <w:marLeft w:val="0"/>
                                              <w:marRight w:val="0"/>
                                              <w:marTop w:val="0"/>
                                              <w:marBottom w:val="0"/>
                                              <w:divBdr>
                                                <w:top w:val="none" w:sz="0" w:space="0" w:color="auto"/>
                                                <w:left w:val="none" w:sz="0" w:space="0" w:color="auto"/>
                                                <w:bottom w:val="none" w:sz="0" w:space="0" w:color="auto"/>
                                                <w:right w:val="none" w:sz="0" w:space="0" w:color="auto"/>
                                              </w:divBdr>
                                              <w:divsChild>
                                                <w:div w:id="167333188">
                                                  <w:marLeft w:val="0"/>
                                                  <w:marRight w:val="0"/>
                                                  <w:marTop w:val="0"/>
                                                  <w:marBottom w:val="0"/>
                                                  <w:divBdr>
                                                    <w:top w:val="none" w:sz="0" w:space="0" w:color="auto"/>
                                                    <w:left w:val="none" w:sz="0" w:space="0" w:color="auto"/>
                                                    <w:bottom w:val="none" w:sz="0" w:space="0" w:color="auto"/>
                                                    <w:right w:val="none" w:sz="0" w:space="0" w:color="auto"/>
                                                  </w:divBdr>
                                                  <w:divsChild>
                                                    <w:div w:id="715589115">
                                                      <w:marLeft w:val="0"/>
                                                      <w:marRight w:val="0"/>
                                                      <w:marTop w:val="0"/>
                                                      <w:marBottom w:val="0"/>
                                                      <w:divBdr>
                                                        <w:top w:val="none" w:sz="0" w:space="0" w:color="auto"/>
                                                        <w:left w:val="none" w:sz="0" w:space="0" w:color="auto"/>
                                                        <w:bottom w:val="none" w:sz="0" w:space="0" w:color="auto"/>
                                                        <w:right w:val="none" w:sz="0" w:space="0" w:color="auto"/>
                                                      </w:divBdr>
                                                      <w:divsChild>
                                                        <w:div w:id="354966662">
                                                          <w:marLeft w:val="0"/>
                                                          <w:marRight w:val="0"/>
                                                          <w:marTop w:val="0"/>
                                                          <w:marBottom w:val="0"/>
                                                          <w:divBdr>
                                                            <w:top w:val="none" w:sz="0" w:space="0" w:color="auto"/>
                                                            <w:left w:val="none" w:sz="0" w:space="0" w:color="auto"/>
                                                            <w:bottom w:val="none" w:sz="0" w:space="0" w:color="auto"/>
                                                            <w:right w:val="none" w:sz="0" w:space="0" w:color="auto"/>
                                                          </w:divBdr>
                                                          <w:divsChild>
                                                            <w:div w:id="2131170406">
                                                              <w:marLeft w:val="0"/>
                                                              <w:marRight w:val="0"/>
                                                              <w:marTop w:val="0"/>
                                                              <w:marBottom w:val="0"/>
                                                              <w:divBdr>
                                                                <w:top w:val="none" w:sz="0" w:space="0" w:color="auto"/>
                                                                <w:left w:val="none" w:sz="0" w:space="0" w:color="auto"/>
                                                                <w:bottom w:val="none" w:sz="0" w:space="0" w:color="auto"/>
                                                                <w:right w:val="none" w:sz="0" w:space="0" w:color="auto"/>
                                                              </w:divBdr>
                                                              <w:divsChild>
                                                                <w:div w:id="972100549">
                                                                  <w:marLeft w:val="0"/>
                                                                  <w:marRight w:val="0"/>
                                                                  <w:marTop w:val="0"/>
                                                                  <w:marBottom w:val="0"/>
                                                                  <w:divBdr>
                                                                    <w:top w:val="none" w:sz="0" w:space="0" w:color="auto"/>
                                                                    <w:left w:val="none" w:sz="0" w:space="0" w:color="auto"/>
                                                                    <w:bottom w:val="none" w:sz="0" w:space="0" w:color="auto"/>
                                                                    <w:right w:val="none" w:sz="0" w:space="0" w:color="auto"/>
                                                                  </w:divBdr>
                                                                  <w:divsChild>
                                                                    <w:div w:id="847326423">
                                                                      <w:marLeft w:val="0"/>
                                                                      <w:marRight w:val="0"/>
                                                                      <w:marTop w:val="0"/>
                                                                      <w:marBottom w:val="0"/>
                                                                      <w:divBdr>
                                                                        <w:top w:val="none" w:sz="0" w:space="0" w:color="auto"/>
                                                                        <w:left w:val="none" w:sz="0" w:space="0" w:color="auto"/>
                                                                        <w:bottom w:val="none" w:sz="0" w:space="0" w:color="auto"/>
                                                                        <w:right w:val="none" w:sz="0" w:space="0" w:color="auto"/>
                                                                      </w:divBdr>
                                                                      <w:divsChild>
                                                                        <w:div w:id="2112310599">
                                                                          <w:marLeft w:val="0"/>
                                                                          <w:marRight w:val="0"/>
                                                                          <w:marTop w:val="0"/>
                                                                          <w:marBottom w:val="0"/>
                                                                          <w:divBdr>
                                                                            <w:top w:val="none" w:sz="0" w:space="0" w:color="auto"/>
                                                                            <w:left w:val="none" w:sz="0" w:space="0" w:color="auto"/>
                                                                            <w:bottom w:val="none" w:sz="0" w:space="0" w:color="auto"/>
                                                                            <w:right w:val="none" w:sz="0" w:space="0" w:color="auto"/>
                                                                          </w:divBdr>
                                                                          <w:divsChild>
                                                                            <w:div w:id="974872909">
                                                                              <w:marLeft w:val="0"/>
                                                                              <w:marRight w:val="0"/>
                                                                              <w:marTop w:val="0"/>
                                                                              <w:marBottom w:val="0"/>
                                                                              <w:divBdr>
                                                                                <w:top w:val="none" w:sz="0" w:space="0" w:color="auto"/>
                                                                                <w:left w:val="none" w:sz="0" w:space="0" w:color="auto"/>
                                                                                <w:bottom w:val="none" w:sz="0" w:space="0" w:color="auto"/>
                                                                                <w:right w:val="none" w:sz="0" w:space="0" w:color="auto"/>
                                                                              </w:divBdr>
                                                                              <w:divsChild>
                                                                                <w:div w:id="952053992">
                                                                                  <w:marLeft w:val="0"/>
                                                                                  <w:marRight w:val="0"/>
                                                                                  <w:marTop w:val="0"/>
                                                                                  <w:marBottom w:val="0"/>
                                                                                  <w:divBdr>
                                                                                    <w:top w:val="none" w:sz="0" w:space="0" w:color="auto"/>
                                                                                    <w:left w:val="none" w:sz="0" w:space="0" w:color="auto"/>
                                                                                    <w:bottom w:val="none" w:sz="0" w:space="0" w:color="auto"/>
                                                                                    <w:right w:val="none" w:sz="0" w:space="0" w:color="auto"/>
                                                                                  </w:divBdr>
                                                                                  <w:divsChild>
                                                                                    <w:div w:id="571619907">
                                                                                      <w:marLeft w:val="0"/>
                                                                                      <w:marRight w:val="0"/>
                                                                                      <w:marTop w:val="0"/>
                                                                                      <w:marBottom w:val="0"/>
                                                                                      <w:divBdr>
                                                                                        <w:top w:val="none" w:sz="0" w:space="0" w:color="auto"/>
                                                                                        <w:left w:val="none" w:sz="0" w:space="0" w:color="auto"/>
                                                                                        <w:bottom w:val="none" w:sz="0" w:space="0" w:color="auto"/>
                                                                                        <w:right w:val="none" w:sz="0" w:space="0" w:color="auto"/>
                                                                                      </w:divBdr>
                                                                                      <w:divsChild>
                                                                                        <w:div w:id="570115269">
                                                                                          <w:marLeft w:val="0"/>
                                                                                          <w:marRight w:val="0"/>
                                                                                          <w:marTop w:val="0"/>
                                                                                          <w:marBottom w:val="0"/>
                                                                                          <w:divBdr>
                                                                                            <w:top w:val="none" w:sz="0" w:space="0" w:color="auto"/>
                                                                                            <w:left w:val="none" w:sz="0" w:space="0" w:color="auto"/>
                                                                                            <w:bottom w:val="none" w:sz="0" w:space="0" w:color="auto"/>
                                                                                            <w:right w:val="none" w:sz="0" w:space="0" w:color="auto"/>
                                                                                          </w:divBdr>
                                                                                          <w:divsChild>
                                                                                            <w:div w:id="208780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9273044">
          <w:marLeft w:val="0"/>
          <w:marRight w:val="0"/>
          <w:marTop w:val="0"/>
          <w:marBottom w:val="0"/>
          <w:divBdr>
            <w:top w:val="none" w:sz="0" w:space="0" w:color="auto"/>
            <w:left w:val="none" w:sz="0" w:space="0" w:color="auto"/>
            <w:bottom w:val="none" w:sz="0" w:space="0" w:color="auto"/>
            <w:right w:val="none" w:sz="0" w:space="0" w:color="auto"/>
          </w:divBdr>
          <w:divsChild>
            <w:div w:id="1100030778">
              <w:marLeft w:val="0"/>
              <w:marRight w:val="0"/>
              <w:marTop w:val="0"/>
              <w:marBottom w:val="0"/>
              <w:divBdr>
                <w:top w:val="none" w:sz="0" w:space="0" w:color="auto"/>
                <w:left w:val="none" w:sz="0" w:space="0" w:color="auto"/>
                <w:bottom w:val="none" w:sz="0" w:space="0" w:color="auto"/>
                <w:right w:val="none" w:sz="0" w:space="0" w:color="auto"/>
              </w:divBdr>
              <w:divsChild>
                <w:div w:id="2044939014">
                  <w:marLeft w:val="0"/>
                  <w:marRight w:val="0"/>
                  <w:marTop w:val="0"/>
                  <w:marBottom w:val="0"/>
                  <w:divBdr>
                    <w:top w:val="none" w:sz="0" w:space="0" w:color="auto"/>
                    <w:left w:val="none" w:sz="0" w:space="0" w:color="auto"/>
                    <w:bottom w:val="none" w:sz="0" w:space="0" w:color="auto"/>
                    <w:right w:val="none" w:sz="0" w:space="0" w:color="auto"/>
                  </w:divBdr>
                  <w:divsChild>
                    <w:div w:id="5612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715452">
      <w:bodyDiv w:val="1"/>
      <w:marLeft w:val="0"/>
      <w:marRight w:val="0"/>
      <w:marTop w:val="0"/>
      <w:marBottom w:val="0"/>
      <w:divBdr>
        <w:top w:val="none" w:sz="0" w:space="0" w:color="auto"/>
        <w:left w:val="none" w:sz="0" w:space="0" w:color="auto"/>
        <w:bottom w:val="none" w:sz="0" w:space="0" w:color="auto"/>
        <w:right w:val="none" w:sz="0" w:space="0" w:color="auto"/>
      </w:divBdr>
    </w:div>
    <w:div w:id="841973058">
      <w:bodyDiv w:val="1"/>
      <w:marLeft w:val="0"/>
      <w:marRight w:val="0"/>
      <w:marTop w:val="0"/>
      <w:marBottom w:val="0"/>
      <w:divBdr>
        <w:top w:val="none" w:sz="0" w:space="0" w:color="auto"/>
        <w:left w:val="none" w:sz="0" w:space="0" w:color="auto"/>
        <w:bottom w:val="none" w:sz="0" w:space="0" w:color="auto"/>
        <w:right w:val="none" w:sz="0" w:space="0" w:color="auto"/>
      </w:divBdr>
    </w:div>
    <w:div w:id="875969120">
      <w:bodyDiv w:val="1"/>
      <w:marLeft w:val="0"/>
      <w:marRight w:val="0"/>
      <w:marTop w:val="0"/>
      <w:marBottom w:val="0"/>
      <w:divBdr>
        <w:top w:val="none" w:sz="0" w:space="0" w:color="auto"/>
        <w:left w:val="none" w:sz="0" w:space="0" w:color="auto"/>
        <w:bottom w:val="none" w:sz="0" w:space="0" w:color="auto"/>
        <w:right w:val="none" w:sz="0" w:space="0" w:color="auto"/>
      </w:divBdr>
    </w:div>
    <w:div w:id="1133910830">
      <w:bodyDiv w:val="1"/>
      <w:marLeft w:val="0"/>
      <w:marRight w:val="0"/>
      <w:marTop w:val="0"/>
      <w:marBottom w:val="0"/>
      <w:divBdr>
        <w:top w:val="none" w:sz="0" w:space="0" w:color="auto"/>
        <w:left w:val="none" w:sz="0" w:space="0" w:color="auto"/>
        <w:bottom w:val="none" w:sz="0" w:space="0" w:color="auto"/>
        <w:right w:val="none" w:sz="0" w:space="0" w:color="auto"/>
      </w:divBdr>
    </w:div>
    <w:div w:id="1345478126">
      <w:bodyDiv w:val="1"/>
      <w:marLeft w:val="0"/>
      <w:marRight w:val="0"/>
      <w:marTop w:val="0"/>
      <w:marBottom w:val="0"/>
      <w:divBdr>
        <w:top w:val="none" w:sz="0" w:space="0" w:color="auto"/>
        <w:left w:val="none" w:sz="0" w:space="0" w:color="auto"/>
        <w:bottom w:val="none" w:sz="0" w:space="0" w:color="auto"/>
        <w:right w:val="none" w:sz="0" w:space="0" w:color="auto"/>
      </w:divBdr>
    </w:div>
    <w:div w:id="1672027544">
      <w:bodyDiv w:val="1"/>
      <w:marLeft w:val="0"/>
      <w:marRight w:val="0"/>
      <w:marTop w:val="0"/>
      <w:marBottom w:val="0"/>
      <w:divBdr>
        <w:top w:val="none" w:sz="0" w:space="0" w:color="auto"/>
        <w:left w:val="none" w:sz="0" w:space="0" w:color="auto"/>
        <w:bottom w:val="none" w:sz="0" w:space="0" w:color="auto"/>
        <w:right w:val="none" w:sz="0" w:space="0" w:color="auto"/>
      </w:divBdr>
    </w:div>
    <w:div w:id="17915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cid:image001.png@01D94150.7FE5DC6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95BEC-9856-4ED8-84F8-F23C3DCC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206</Words>
  <Characters>1179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MRO FSS RF</Company>
  <LinksUpToDate>false</LinksUpToDate>
  <CharactersWithSpaces>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Чупраков А.В.</dc:creator>
  <cp:lastModifiedBy>Савопуло Валерия Анатольевна</cp:lastModifiedBy>
  <cp:revision>5</cp:revision>
  <cp:lastPrinted>2026-06-11T06:41:00Z</cp:lastPrinted>
  <dcterms:created xsi:type="dcterms:W3CDTF">2026-07-08T05:34:00Z</dcterms:created>
  <dcterms:modified xsi:type="dcterms:W3CDTF">2026-09-10T11:00:00Z</dcterms:modified>
</cp:coreProperties>
</file>