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024" w:rsidRDefault="00475F9D">
      <w:pPr>
        <w:jc w:val="center"/>
        <w:rPr>
          <w:b/>
          <w:color w:val="365F91"/>
          <w:sz w:val="26"/>
          <w:szCs w:val="26"/>
        </w:rPr>
      </w:pPr>
      <w:r>
        <w:rPr>
          <w:noProof/>
        </w:rPr>
        <w:drawing>
          <wp:anchor distT="0" distB="0" distL="114300" distR="114300" simplePos="0" relativeHeight="251659264" behindDoc="0" locked="0" layoutInCell="1" allowOverlap="1">
            <wp:simplePos x="0" y="0"/>
            <wp:positionH relativeFrom="margin">
              <wp:posOffset>-160020</wp:posOffset>
            </wp:positionH>
            <wp:positionV relativeFrom="margin">
              <wp:posOffset>-84455</wp:posOffset>
            </wp:positionV>
            <wp:extent cx="1274445" cy="771525"/>
            <wp:effectExtent l="0" t="0" r="1905" b="9525"/>
            <wp:wrapSquare wrapText="bothSides"/>
            <wp:docPr id="1" name="Рисунок 1" descr="Описание: cid:image002.png@01D925A7.4CE2A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id:image002.png@01D925A7.4CE2ABF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7444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F1024" w:rsidRDefault="00475F9D">
      <w:pPr>
        <w:jc w:val="center"/>
        <w:rPr>
          <w:b/>
          <w:color w:val="0070C0"/>
          <w:sz w:val="26"/>
          <w:szCs w:val="26"/>
        </w:rPr>
      </w:pPr>
      <w:r>
        <w:rPr>
          <w:b/>
          <w:color w:val="0070C0"/>
          <w:sz w:val="26"/>
          <w:szCs w:val="26"/>
        </w:rPr>
        <w:t xml:space="preserve">Отделение Фонда пенсионного и социального страхования </w:t>
      </w:r>
    </w:p>
    <w:p w:rsidR="00AF1024" w:rsidRDefault="00475F9D">
      <w:pPr>
        <w:jc w:val="center"/>
        <w:rPr>
          <w:b/>
          <w:color w:val="0070C0"/>
          <w:sz w:val="26"/>
          <w:szCs w:val="26"/>
        </w:rPr>
      </w:pPr>
      <w:r>
        <w:rPr>
          <w:b/>
          <w:color w:val="0070C0"/>
          <w:sz w:val="26"/>
          <w:szCs w:val="26"/>
        </w:rPr>
        <w:t>Российской Федерации по Санкт-Петербургу и Ленинградской области</w:t>
      </w:r>
    </w:p>
    <w:p w:rsidR="00AF1024" w:rsidRDefault="00AF1024">
      <w:pPr>
        <w:jc w:val="center"/>
        <w:rPr>
          <w:b/>
          <w:color w:val="C00000"/>
          <w:sz w:val="28"/>
          <w:szCs w:val="28"/>
        </w:rPr>
      </w:pPr>
    </w:p>
    <w:p w:rsidR="00AF1024" w:rsidRDefault="00475F9D">
      <w:pPr>
        <w:ind w:firstLine="340"/>
        <w:jc w:val="center"/>
        <w:rPr>
          <w:b/>
          <w:color w:val="C00000"/>
          <w:sz w:val="26"/>
          <w:szCs w:val="26"/>
        </w:rPr>
      </w:pPr>
      <w:bookmarkStart w:id="0" w:name="_GoBack"/>
      <w:r>
        <w:rPr>
          <w:b/>
          <w:color w:val="C00000"/>
          <w:sz w:val="26"/>
          <w:szCs w:val="26"/>
        </w:rPr>
        <w:t>Информирование о представлении единой формы отчетности «Сведения для ведения индивидуального (персонифицированного) учета и сведения</w:t>
      </w:r>
      <w:r>
        <w:rPr>
          <w:b/>
          <w:color w:val="C00000"/>
          <w:sz w:val="26"/>
          <w:szCs w:val="26"/>
        </w:rPr>
        <w:t xml:space="preserve"> о начисленных страховых взносах на обязательное социальное страхование от несчастных случаев на производстве и профессиональных заболеваний (ЕФС-1)»</w:t>
      </w:r>
      <w:r>
        <w:rPr>
          <w:rStyle w:val="af"/>
          <w:b/>
          <w:color w:val="C00000"/>
          <w:sz w:val="26"/>
          <w:szCs w:val="26"/>
        </w:rPr>
        <w:footnoteReference w:id="1"/>
      </w:r>
      <w:r>
        <w:rPr>
          <w:b/>
          <w:color w:val="C00000"/>
          <w:sz w:val="26"/>
          <w:szCs w:val="26"/>
        </w:rPr>
        <w:t xml:space="preserve"> в отношении руководителей организаций, являющихся единственными участниками (учредителями) за периоды,</w:t>
      </w:r>
    </w:p>
    <w:p w:rsidR="00AF1024" w:rsidRDefault="00475F9D">
      <w:pPr>
        <w:ind w:firstLine="340"/>
        <w:jc w:val="center"/>
        <w:rPr>
          <w:b/>
          <w:color w:val="C00000"/>
          <w:sz w:val="26"/>
          <w:szCs w:val="26"/>
        </w:rPr>
      </w:pPr>
      <w:r>
        <w:rPr>
          <w:b/>
          <w:color w:val="C00000"/>
          <w:sz w:val="26"/>
          <w:szCs w:val="26"/>
        </w:rPr>
        <w:t>на</w:t>
      </w:r>
      <w:r>
        <w:rPr>
          <w:b/>
          <w:color w:val="C00000"/>
          <w:sz w:val="26"/>
          <w:szCs w:val="26"/>
        </w:rPr>
        <w:t>чиная с 01.01.2026</w:t>
      </w:r>
    </w:p>
    <w:bookmarkEnd w:id="0"/>
    <w:p w:rsidR="00AF1024" w:rsidRDefault="00AF1024">
      <w:pPr>
        <w:ind w:firstLine="340"/>
        <w:jc w:val="both"/>
        <w:rPr>
          <w:sz w:val="26"/>
          <w:szCs w:val="26"/>
        </w:rPr>
      </w:pPr>
    </w:p>
    <w:p w:rsidR="00AF1024" w:rsidRDefault="00475F9D">
      <w:pPr>
        <w:numPr>
          <w:ilvl w:val="0"/>
          <w:numId w:val="4"/>
        </w:numPr>
        <w:ind w:firstLine="709"/>
        <w:jc w:val="both"/>
        <w:rPr>
          <w:bCs/>
          <w:sz w:val="24"/>
          <w:szCs w:val="24"/>
          <w:lang w:eastAsia="x-none"/>
        </w:rPr>
      </w:pPr>
      <w:r>
        <w:rPr>
          <w:color w:val="C00000"/>
          <w:sz w:val="24"/>
          <w:szCs w:val="24"/>
        </w:rPr>
        <w:t>С 1 января 2026 года</w:t>
      </w:r>
      <w:r>
        <w:rPr>
          <w:bCs/>
          <w:color w:val="FF0000"/>
          <w:sz w:val="24"/>
          <w:szCs w:val="24"/>
          <w:lang w:eastAsia="x-none"/>
        </w:rPr>
        <w:t xml:space="preserve"> </w:t>
      </w:r>
      <w:r>
        <w:rPr>
          <w:bCs/>
          <w:sz w:val="24"/>
          <w:szCs w:val="24"/>
          <w:lang w:eastAsia="x-none"/>
        </w:rPr>
        <w:t>действует положение части 2 статьи 421 Налогового кодекса Российской Федерации</w:t>
      </w:r>
      <w:r>
        <w:rPr>
          <w:sz w:val="24"/>
          <w:szCs w:val="24"/>
          <w:vertAlign w:val="superscript"/>
        </w:rPr>
        <w:footnoteReference w:id="2"/>
      </w:r>
      <w:r>
        <w:rPr>
          <w:bCs/>
          <w:sz w:val="24"/>
          <w:szCs w:val="24"/>
          <w:lang w:eastAsia="x-none"/>
        </w:rPr>
        <w:t xml:space="preserve">, согласно которому сумма выплат и вознаграждений (для целей определения базы для исчисления страховых взносов) в отношении физического </w:t>
      </w:r>
      <w:r>
        <w:rPr>
          <w:bCs/>
          <w:sz w:val="24"/>
          <w:szCs w:val="24"/>
          <w:lang w:eastAsia="x-none"/>
        </w:rPr>
        <w:t xml:space="preserve">лица, являющегося единоличным исполнительным органом коммерческой организации, </w:t>
      </w:r>
      <w:r>
        <w:rPr>
          <w:bCs/>
          <w:color w:val="0070C0"/>
          <w:sz w:val="24"/>
          <w:szCs w:val="24"/>
          <w:lang w:eastAsia="x-none"/>
        </w:rPr>
        <w:t>принимается за 1 МРОТ</w:t>
      </w:r>
      <w:r>
        <w:rPr>
          <w:color w:val="0070C0"/>
          <w:sz w:val="24"/>
          <w:szCs w:val="24"/>
          <w:vertAlign w:val="superscript"/>
        </w:rPr>
        <w:footnoteReference w:id="3"/>
      </w:r>
      <w:r>
        <w:rPr>
          <w:bCs/>
          <w:color w:val="0070C0"/>
          <w:sz w:val="24"/>
          <w:szCs w:val="24"/>
          <w:lang w:eastAsia="x-none"/>
        </w:rPr>
        <w:t xml:space="preserve"> </w:t>
      </w:r>
      <w:r>
        <w:rPr>
          <w:bCs/>
          <w:sz w:val="24"/>
          <w:szCs w:val="24"/>
          <w:lang w:eastAsia="x-none"/>
        </w:rPr>
        <w:t xml:space="preserve">(если сумма начисленных выплат и вознаграждений в отношении указанного лица за календарный месяц расчетного периода меньше 1 МРОТ). </w:t>
      </w:r>
    </w:p>
    <w:p w:rsidR="00AF1024" w:rsidRDefault="00475F9D">
      <w:pPr>
        <w:numPr>
          <w:ilvl w:val="0"/>
          <w:numId w:val="4"/>
        </w:numPr>
        <w:ind w:firstLine="709"/>
        <w:jc w:val="both"/>
        <w:rPr>
          <w:bCs/>
          <w:sz w:val="24"/>
          <w:szCs w:val="24"/>
          <w:lang w:eastAsia="x-none"/>
        </w:rPr>
      </w:pPr>
      <w:r>
        <w:rPr>
          <w:bCs/>
          <w:sz w:val="24"/>
          <w:szCs w:val="24"/>
          <w:lang w:eastAsia="x-none"/>
        </w:rPr>
        <w:t>С учетом обязанности,</w:t>
      </w:r>
      <w:r>
        <w:rPr>
          <w:bCs/>
          <w:sz w:val="24"/>
          <w:szCs w:val="24"/>
          <w:lang w:eastAsia="x-none"/>
        </w:rPr>
        <w:t xml:space="preserve"> установленной статьей 421 НК РФ, в целях обеспечения пенсионных прав застрахованных лиц </w:t>
      </w:r>
      <w:r>
        <w:rPr>
          <w:bCs/>
          <w:color w:val="0070C0"/>
          <w:sz w:val="24"/>
          <w:szCs w:val="24"/>
          <w:lang w:eastAsia="x-none"/>
        </w:rPr>
        <w:t>руководители - единственные учредители</w:t>
      </w:r>
      <w:r>
        <w:rPr>
          <w:bCs/>
          <w:sz w:val="24"/>
          <w:szCs w:val="24"/>
          <w:lang w:eastAsia="x-none"/>
        </w:rPr>
        <w:t xml:space="preserve"> </w:t>
      </w:r>
      <w:r>
        <w:rPr>
          <w:bCs/>
          <w:color w:val="0070C0"/>
          <w:sz w:val="24"/>
          <w:szCs w:val="24"/>
          <w:lang w:eastAsia="x-none"/>
        </w:rPr>
        <w:t>с 1 января 2026 года относятся к категории работающих граждан.</w:t>
      </w:r>
    </w:p>
    <w:p w:rsidR="00AF1024" w:rsidRDefault="00475F9D">
      <w:pPr>
        <w:numPr>
          <w:ilvl w:val="0"/>
          <w:numId w:val="4"/>
        </w:numPr>
        <w:ind w:firstLine="709"/>
        <w:jc w:val="both"/>
        <w:rPr>
          <w:bCs/>
          <w:sz w:val="24"/>
          <w:szCs w:val="24"/>
          <w:lang w:eastAsia="x-none"/>
        </w:rPr>
      </w:pPr>
      <w:r>
        <w:rPr>
          <w:sz w:val="24"/>
          <w:szCs w:val="24"/>
        </w:rPr>
        <w:t>Из системного толкования норм действующего законодательства</w:t>
      </w:r>
      <w:r>
        <w:rPr>
          <w:rStyle w:val="af"/>
          <w:sz w:val="24"/>
          <w:szCs w:val="24"/>
        </w:rPr>
        <w:footnoteReference w:id="4"/>
      </w:r>
      <w:r>
        <w:rPr>
          <w:sz w:val="24"/>
          <w:szCs w:val="24"/>
        </w:rPr>
        <w:t xml:space="preserve"> следует, что</w:t>
      </w:r>
      <w:r>
        <w:rPr>
          <w:bCs/>
          <w:sz w:val="24"/>
          <w:szCs w:val="24"/>
          <w:lang w:eastAsia="x-none"/>
        </w:rPr>
        <w:t xml:space="preserve"> </w:t>
      </w:r>
      <w:r>
        <w:rPr>
          <w:bCs/>
          <w:color w:val="0070C0"/>
          <w:sz w:val="24"/>
          <w:szCs w:val="24"/>
          <w:lang w:eastAsia="x-none"/>
        </w:rPr>
        <w:t>для обеспечения формирования прав на получение страхового обеспечения в должном размере</w:t>
      </w:r>
      <w:r>
        <w:rPr>
          <w:bCs/>
          <w:sz w:val="24"/>
          <w:szCs w:val="24"/>
          <w:lang w:eastAsia="x-none"/>
        </w:rPr>
        <w:t xml:space="preserve"> </w:t>
      </w:r>
      <w:r>
        <w:rPr>
          <w:color w:val="C00000"/>
          <w:sz w:val="24"/>
          <w:szCs w:val="24"/>
        </w:rPr>
        <w:t>руководителю, являющемуся единственным учредителем, необходимо представлять сведения о трудовой деятельности и страховом стаже в составе формы ЕФС-1 в теч</w:t>
      </w:r>
      <w:r>
        <w:rPr>
          <w:color w:val="C00000"/>
          <w:sz w:val="24"/>
          <w:szCs w:val="24"/>
        </w:rPr>
        <w:t xml:space="preserve">ение периода осуществления физическим лицом  полномочий единоличного исполнительного органа </w:t>
      </w:r>
      <w:r>
        <w:rPr>
          <w:color w:val="C00000"/>
          <w:sz w:val="24"/>
          <w:szCs w:val="24"/>
          <w:u w:val="single"/>
        </w:rPr>
        <w:t>начиная с 1 января 2026 года</w:t>
      </w:r>
      <w:r>
        <w:rPr>
          <w:bCs/>
          <w:color w:val="FF0000"/>
          <w:sz w:val="24"/>
          <w:szCs w:val="24"/>
          <w:u w:val="single"/>
          <w:lang w:eastAsia="x-none"/>
        </w:rPr>
        <w:t xml:space="preserve"> </w:t>
      </w:r>
      <w:r>
        <w:rPr>
          <w:bCs/>
          <w:sz w:val="24"/>
          <w:szCs w:val="24"/>
          <w:lang w:eastAsia="x-none"/>
        </w:rPr>
        <w:t>с указанием соответствующего кадрового мероприятия, например, на основании приказа (распоряжения) о назначении (избрании) на должность.</w:t>
      </w:r>
    </w:p>
    <w:p w:rsidR="00AF1024" w:rsidRDefault="00475F9D">
      <w:pPr>
        <w:widowControl w:val="0"/>
        <w:autoSpaceDE w:val="0"/>
        <w:autoSpaceDN w:val="0"/>
        <w:adjustRightInd w:val="0"/>
        <w:ind w:firstLine="709"/>
        <w:contextualSpacing/>
        <w:jc w:val="both"/>
        <w:rPr>
          <w:bCs/>
          <w:sz w:val="24"/>
          <w:szCs w:val="24"/>
          <w:lang w:eastAsia="x-none"/>
        </w:rPr>
      </w:pPr>
      <w:r>
        <w:rPr>
          <w:bCs/>
          <w:sz w:val="24"/>
          <w:szCs w:val="24"/>
          <w:lang w:eastAsia="x-none"/>
        </w:rPr>
        <w:t xml:space="preserve">Таким образом, в отношении руководителя – единственного учредителя, по которому ранее не представлялись сведения индивидуального (персонифицированного) учета и не начислялись страховые взносы, </w:t>
      </w:r>
      <w:r>
        <w:rPr>
          <w:color w:val="C00000"/>
          <w:sz w:val="24"/>
          <w:szCs w:val="24"/>
        </w:rPr>
        <w:t>страхователю необходимо представить сведения о трудовой деятел</w:t>
      </w:r>
      <w:r>
        <w:rPr>
          <w:color w:val="C00000"/>
          <w:sz w:val="24"/>
          <w:szCs w:val="24"/>
        </w:rPr>
        <w:t xml:space="preserve">ьности по форме ЕФС-1 </w:t>
      </w:r>
      <w:r>
        <w:rPr>
          <w:bCs/>
          <w:color w:val="0070C0"/>
          <w:sz w:val="24"/>
          <w:szCs w:val="24"/>
          <w:lang w:eastAsia="x-none"/>
        </w:rPr>
        <w:t xml:space="preserve">с кадровым мероприятием «ПРИЕМ» </w:t>
      </w:r>
      <w:r>
        <w:rPr>
          <w:bCs/>
          <w:sz w:val="24"/>
          <w:szCs w:val="24"/>
          <w:lang w:eastAsia="x-none"/>
        </w:rPr>
        <w:t xml:space="preserve">с указанием в графе 2 «Дата (число, месяц, год) приема, перевода, увольнения, начала договора ГПХ, окончания договора ГПХ» </w:t>
      </w:r>
      <w:r>
        <w:rPr>
          <w:b/>
          <w:bCs/>
          <w:color w:val="5B9BD5" w:themeColor="accent1"/>
          <w:sz w:val="24"/>
          <w:szCs w:val="24"/>
          <w:lang w:eastAsia="x-none"/>
        </w:rPr>
        <w:t xml:space="preserve">даты «1 января 2026 года» </w:t>
      </w:r>
      <w:r>
        <w:rPr>
          <w:bCs/>
          <w:sz w:val="24"/>
          <w:szCs w:val="24"/>
          <w:lang w:eastAsia="x-none"/>
        </w:rPr>
        <w:t>либо с указанием соответствующей даты наделения полно</w:t>
      </w:r>
      <w:r>
        <w:rPr>
          <w:bCs/>
          <w:sz w:val="24"/>
          <w:szCs w:val="24"/>
          <w:lang w:eastAsia="x-none"/>
        </w:rPr>
        <w:t>мочий после 1 января 2026 года.</w:t>
      </w:r>
    </w:p>
    <w:p w:rsidR="00AF1024" w:rsidRDefault="00475F9D">
      <w:pPr>
        <w:autoSpaceDE w:val="0"/>
        <w:autoSpaceDN w:val="0"/>
        <w:adjustRightInd w:val="0"/>
        <w:jc w:val="both"/>
        <w:outlineLvl w:val="0"/>
        <w:rPr>
          <w:sz w:val="24"/>
          <w:szCs w:val="24"/>
        </w:rPr>
      </w:pPr>
      <w:r>
        <w:rPr>
          <w:sz w:val="24"/>
          <w:szCs w:val="24"/>
        </w:rPr>
        <w:t>Пример заполнения подраздела 1.1. подраздела 1 раздела 1 формы ЕФС-1: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1735"/>
        <w:gridCol w:w="1701"/>
        <w:gridCol w:w="1984"/>
        <w:gridCol w:w="1418"/>
        <w:gridCol w:w="1559"/>
        <w:gridCol w:w="1276"/>
        <w:gridCol w:w="708"/>
      </w:tblGrid>
      <w:tr w:rsidR="00AF1024">
        <w:tc>
          <w:tcPr>
            <w:tcW w:w="454" w:type="dxa"/>
            <w:vMerge w:val="restart"/>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N п/п </w:t>
            </w:r>
          </w:p>
        </w:tc>
        <w:tc>
          <w:tcPr>
            <w:tcW w:w="1735" w:type="dxa"/>
            <w:vMerge w:val="restart"/>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Дата (число, месяц, год) приема, перевода, увольнения, начала договора ГПХ, окончания договора ГПХ </w:t>
            </w:r>
          </w:p>
        </w:tc>
        <w:tc>
          <w:tcPr>
            <w:tcW w:w="1701" w:type="dxa"/>
            <w:vMerge w:val="restart"/>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Сведения о приеме, переводе, увольнении, начале</w:t>
            </w:r>
            <w:r>
              <w:rPr>
                <w:sz w:val="18"/>
                <w:szCs w:val="18"/>
              </w:rPr>
              <w:t xml:space="preserve"> договора ГПХ, окончании договора ГПХ </w:t>
            </w:r>
          </w:p>
        </w:tc>
        <w:tc>
          <w:tcPr>
            <w:tcW w:w="1984" w:type="dxa"/>
            <w:vMerge w:val="restart"/>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Трудовая функция (должность, профессия, специальность, квалификация, конкретный вид поручаемой работы), структурное подразделение </w:t>
            </w:r>
          </w:p>
        </w:tc>
        <w:tc>
          <w:tcPr>
            <w:tcW w:w="1418" w:type="dxa"/>
            <w:vMerge w:val="restart"/>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Код выполняемой функции </w:t>
            </w:r>
          </w:p>
        </w:tc>
        <w:tc>
          <w:tcPr>
            <w:tcW w:w="3543" w:type="dxa"/>
            <w:gridSpan w:val="3"/>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Основание </w:t>
            </w:r>
          </w:p>
        </w:tc>
      </w:tr>
      <w:tr w:rsidR="00AF1024">
        <w:tc>
          <w:tcPr>
            <w:tcW w:w="454" w:type="dxa"/>
            <w:vMerge/>
            <w:tcBorders>
              <w:top w:val="single" w:sz="4" w:space="0" w:color="auto"/>
              <w:left w:val="single" w:sz="4" w:space="0" w:color="auto"/>
              <w:bottom w:val="single" w:sz="4" w:space="0" w:color="auto"/>
              <w:right w:val="single" w:sz="4" w:space="0" w:color="auto"/>
            </w:tcBorders>
          </w:tcPr>
          <w:p w:rsidR="00AF1024" w:rsidRDefault="00AF1024">
            <w:pPr>
              <w:autoSpaceDE w:val="0"/>
              <w:autoSpaceDN w:val="0"/>
              <w:adjustRightInd w:val="0"/>
              <w:jc w:val="center"/>
              <w:rPr>
                <w:sz w:val="18"/>
                <w:szCs w:val="18"/>
              </w:rPr>
            </w:pPr>
          </w:p>
        </w:tc>
        <w:tc>
          <w:tcPr>
            <w:tcW w:w="1735" w:type="dxa"/>
            <w:vMerge/>
            <w:tcBorders>
              <w:top w:val="single" w:sz="4" w:space="0" w:color="auto"/>
              <w:left w:val="single" w:sz="4" w:space="0" w:color="auto"/>
              <w:bottom w:val="single" w:sz="4" w:space="0" w:color="auto"/>
              <w:right w:val="single" w:sz="4" w:space="0" w:color="auto"/>
            </w:tcBorders>
          </w:tcPr>
          <w:p w:rsidR="00AF1024" w:rsidRDefault="00AF1024">
            <w:pPr>
              <w:autoSpaceDE w:val="0"/>
              <w:autoSpaceDN w:val="0"/>
              <w:adjustRightInd w:val="0"/>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tcPr>
          <w:p w:rsidR="00AF1024" w:rsidRDefault="00AF1024">
            <w:pPr>
              <w:autoSpaceDE w:val="0"/>
              <w:autoSpaceDN w:val="0"/>
              <w:adjustRightInd w:val="0"/>
              <w:jc w:val="center"/>
              <w:rPr>
                <w:sz w:val="18"/>
                <w:szCs w:val="18"/>
              </w:rPr>
            </w:pPr>
          </w:p>
        </w:tc>
        <w:tc>
          <w:tcPr>
            <w:tcW w:w="1984" w:type="dxa"/>
            <w:vMerge/>
            <w:tcBorders>
              <w:top w:val="single" w:sz="4" w:space="0" w:color="auto"/>
              <w:left w:val="single" w:sz="4" w:space="0" w:color="auto"/>
              <w:bottom w:val="single" w:sz="4" w:space="0" w:color="auto"/>
              <w:right w:val="single" w:sz="4" w:space="0" w:color="auto"/>
            </w:tcBorders>
          </w:tcPr>
          <w:p w:rsidR="00AF1024" w:rsidRDefault="00AF1024">
            <w:pPr>
              <w:autoSpaceDE w:val="0"/>
              <w:autoSpaceDN w:val="0"/>
              <w:adjustRightInd w:val="0"/>
              <w:jc w:val="center"/>
              <w:rPr>
                <w:sz w:val="18"/>
                <w:szCs w:val="18"/>
              </w:rPr>
            </w:pPr>
          </w:p>
        </w:tc>
        <w:tc>
          <w:tcPr>
            <w:tcW w:w="1418" w:type="dxa"/>
            <w:vMerge/>
            <w:tcBorders>
              <w:top w:val="single" w:sz="4" w:space="0" w:color="auto"/>
              <w:left w:val="single" w:sz="4" w:space="0" w:color="auto"/>
              <w:bottom w:val="single" w:sz="4" w:space="0" w:color="auto"/>
              <w:right w:val="single" w:sz="4" w:space="0" w:color="auto"/>
            </w:tcBorders>
          </w:tcPr>
          <w:p w:rsidR="00AF1024" w:rsidRDefault="00AF1024">
            <w:pPr>
              <w:autoSpaceDE w:val="0"/>
              <w:autoSpaceDN w:val="0"/>
              <w:adjustRightInd w:val="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Наименование документа </w:t>
            </w:r>
          </w:p>
        </w:tc>
        <w:tc>
          <w:tcPr>
            <w:tcW w:w="1276"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Дата </w:t>
            </w:r>
          </w:p>
        </w:tc>
        <w:tc>
          <w:tcPr>
            <w:tcW w:w="708"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Номер документа </w:t>
            </w:r>
          </w:p>
        </w:tc>
      </w:tr>
      <w:tr w:rsidR="00AF1024">
        <w:trPr>
          <w:trHeight w:val="78"/>
        </w:trPr>
        <w:tc>
          <w:tcPr>
            <w:tcW w:w="454"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1 </w:t>
            </w:r>
          </w:p>
        </w:tc>
        <w:tc>
          <w:tcPr>
            <w:tcW w:w="1735"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2 </w:t>
            </w:r>
          </w:p>
        </w:tc>
        <w:tc>
          <w:tcPr>
            <w:tcW w:w="1701"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3 </w:t>
            </w:r>
          </w:p>
        </w:tc>
        <w:tc>
          <w:tcPr>
            <w:tcW w:w="1984"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5 </w:t>
            </w:r>
          </w:p>
        </w:tc>
        <w:tc>
          <w:tcPr>
            <w:tcW w:w="1418"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6 </w:t>
            </w:r>
          </w:p>
        </w:tc>
        <w:tc>
          <w:tcPr>
            <w:tcW w:w="1559"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8 </w:t>
            </w:r>
          </w:p>
        </w:tc>
        <w:tc>
          <w:tcPr>
            <w:tcW w:w="1276"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9 </w:t>
            </w:r>
          </w:p>
        </w:tc>
        <w:tc>
          <w:tcPr>
            <w:tcW w:w="708"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10 </w:t>
            </w:r>
          </w:p>
        </w:tc>
      </w:tr>
      <w:tr w:rsidR="00AF1024">
        <w:tc>
          <w:tcPr>
            <w:tcW w:w="454"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 xml:space="preserve">1 </w:t>
            </w:r>
          </w:p>
        </w:tc>
        <w:tc>
          <w:tcPr>
            <w:tcW w:w="1735"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color w:val="FF0000"/>
                <w:sz w:val="18"/>
                <w:szCs w:val="18"/>
              </w:rPr>
              <w:t>01.01.2026</w:t>
            </w:r>
            <w:r>
              <w:rPr>
                <w:rStyle w:val="af"/>
                <w:sz w:val="18"/>
                <w:szCs w:val="18"/>
              </w:rPr>
              <w:footnoteReference w:id="5"/>
            </w:r>
            <w:r>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hyperlink r:id="rId10" w:history="1">
              <w:r>
                <w:rPr>
                  <w:sz w:val="18"/>
                  <w:szCs w:val="18"/>
                </w:rPr>
                <w:t xml:space="preserve">ПРИЕМ </w:t>
              </w:r>
            </w:hyperlink>
          </w:p>
        </w:tc>
        <w:tc>
          <w:tcPr>
            <w:tcW w:w="1984"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Руководитель</w:t>
            </w:r>
            <w:r>
              <w:rPr>
                <w:rStyle w:val="af"/>
                <w:sz w:val="18"/>
                <w:szCs w:val="18"/>
              </w:rPr>
              <w:footnoteReference w:id="6"/>
            </w:r>
            <w:r>
              <w:rPr>
                <w:sz w:val="18"/>
                <w:szCs w:val="18"/>
              </w:rPr>
              <w:t xml:space="preserve"> </w:t>
            </w:r>
          </w:p>
        </w:tc>
        <w:tc>
          <w:tcPr>
            <w:tcW w:w="1418"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hyperlink r:id="rId11" w:history="1">
              <w:r>
                <w:rPr>
                  <w:sz w:val="18"/>
                  <w:szCs w:val="18"/>
                </w:rPr>
                <w:t>0000 0</w:t>
              </w:r>
              <w:r>
                <w:rPr>
                  <w:rStyle w:val="af"/>
                  <w:sz w:val="18"/>
                  <w:szCs w:val="18"/>
                </w:rPr>
                <w:footnoteReference w:id="7"/>
              </w:r>
              <w:r>
                <w:rPr>
                  <w:sz w:val="18"/>
                  <w:szCs w:val="18"/>
                </w:rPr>
                <w:t xml:space="preserve"> </w:t>
              </w:r>
            </w:hyperlink>
          </w:p>
        </w:tc>
        <w:tc>
          <w:tcPr>
            <w:tcW w:w="1559"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Приказ (распоряжение)</w:t>
            </w:r>
            <w:r>
              <w:rPr>
                <w:rStyle w:val="af"/>
                <w:sz w:val="18"/>
                <w:szCs w:val="18"/>
              </w:rPr>
              <w:footnoteReference w:id="8"/>
            </w:r>
            <w:r>
              <w:rPr>
                <w:sz w:val="18"/>
                <w:szCs w:val="18"/>
              </w:rPr>
              <w:t xml:space="preserve"> </w:t>
            </w:r>
          </w:p>
        </w:tc>
        <w:tc>
          <w:tcPr>
            <w:tcW w:w="1276"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ДД.ММ.ГГГГ</w:t>
            </w:r>
            <w:r>
              <w:rPr>
                <w:rStyle w:val="af"/>
                <w:sz w:val="18"/>
                <w:szCs w:val="18"/>
              </w:rPr>
              <w:footnoteReference w:id="9"/>
            </w:r>
            <w:r>
              <w:rPr>
                <w:sz w:val="18"/>
                <w:szCs w:val="18"/>
              </w:rPr>
              <w:t xml:space="preserve"> </w:t>
            </w:r>
          </w:p>
        </w:tc>
        <w:tc>
          <w:tcPr>
            <w:tcW w:w="708" w:type="dxa"/>
            <w:tcBorders>
              <w:top w:val="single" w:sz="4" w:space="0" w:color="auto"/>
              <w:left w:val="single" w:sz="4" w:space="0" w:color="auto"/>
              <w:bottom w:val="single" w:sz="4" w:space="0" w:color="auto"/>
              <w:right w:val="single" w:sz="4" w:space="0" w:color="auto"/>
            </w:tcBorders>
          </w:tcPr>
          <w:p w:rsidR="00AF1024" w:rsidRDefault="00475F9D">
            <w:pPr>
              <w:autoSpaceDE w:val="0"/>
              <w:autoSpaceDN w:val="0"/>
              <w:adjustRightInd w:val="0"/>
              <w:jc w:val="center"/>
              <w:rPr>
                <w:sz w:val="18"/>
                <w:szCs w:val="18"/>
              </w:rPr>
            </w:pPr>
            <w:r>
              <w:rPr>
                <w:sz w:val="18"/>
                <w:szCs w:val="18"/>
              </w:rPr>
              <w:t>1</w:t>
            </w:r>
          </w:p>
        </w:tc>
      </w:tr>
    </w:tbl>
    <w:p w:rsidR="00AF1024" w:rsidRDefault="00475F9D">
      <w:pPr>
        <w:pStyle w:val="ac"/>
        <w:widowControl w:val="0"/>
        <w:numPr>
          <w:ilvl w:val="0"/>
          <w:numId w:val="4"/>
        </w:numPr>
        <w:autoSpaceDE w:val="0"/>
        <w:autoSpaceDN w:val="0"/>
        <w:adjustRightInd w:val="0"/>
        <w:ind w:firstLine="709"/>
        <w:jc w:val="both"/>
        <w:rPr>
          <w:bCs/>
          <w:sz w:val="24"/>
          <w:szCs w:val="24"/>
          <w:lang w:eastAsia="x-none"/>
        </w:rPr>
      </w:pPr>
      <w:r>
        <w:rPr>
          <w:bCs/>
          <w:sz w:val="24"/>
          <w:szCs w:val="24"/>
          <w:lang w:eastAsia="x-none"/>
        </w:rPr>
        <w:lastRenderedPageBreak/>
        <w:t>Соответствующее разъяснение Минтруда РФ направлено в Федеральную службу по труду и занятости (</w:t>
      </w:r>
      <w:proofErr w:type="spellStart"/>
      <w:r>
        <w:rPr>
          <w:bCs/>
          <w:sz w:val="24"/>
          <w:szCs w:val="24"/>
          <w:lang w:eastAsia="x-none"/>
        </w:rPr>
        <w:t>Роструд</w:t>
      </w:r>
      <w:proofErr w:type="spellEnd"/>
      <w:r>
        <w:rPr>
          <w:bCs/>
          <w:sz w:val="24"/>
          <w:szCs w:val="24"/>
          <w:lang w:eastAsia="x-none"/>
        </w:rPr>
        <w:t xml:space="preserve">) для использования при принятии решений о привлечении к ответственности. </w:t>
      </w:r>
      <w:r>
        <w:rPr>
          <w:bCs/>
          <w:sz w:val="24"/>
          <w:szCs w:val="24"/>
          <w:lang w:eastAsia="x-none"/>
        </w:rPr>
        <w:t>В связи с этим напоминаем, что непредставление в установленный Федеральным законом от 01.04.2026 №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w:t>
      </w:r>
      <w:r>
        <w:rPr>
          <w:bCs/>
          <w:sz w:val="24"/>
          <w:szCs w:val="24"/>
          <w:lang w:eastAsia="x-none"/>
        </w:rPr>
        <w:t>ставление неполных и (или) недостоверных сведений, предусмотренных пунктом 2.1 статьи 6 указанного Федерального закона влечет привлечении к ответственности, предусмотренной частью 2 статьи 15.33.2 Кодекса Российской Федерации об административных правонаруш</w:t>
      </w:r>
      <w:r>
        <w:rPr>
          <w:bCs/>
          <w:sz w:val="24"/>
          <w:szCs w:val="24"/>
          <w:lang w:eastAsia="x-none"/>
        </w:rPr>
        <w:t xml:space="preserve">ениях. </w:t>
      </w:r>
    </w:p>
    <w:p w:rsidR="00AF1024" w:rsidRDefault="00AF1024">
      <w:pPr>
        <w:numPr>
          <w:ilvl w:val="0"/>
          <w:numId w:val="4"/>
        </w:numPr>
        <w:ind w:firstLine="709"/>
        <w:jc w:val="both"/>
        <w:rPr>
          <w:sz w:val="24"/>
          <w:szCs w:val="24"/>
        </w:rPr>
      </w:pPr>
    </w:p>
    <w:p w:rsidR="00AF1024" w:rsidRDefault="00475F9D">
      <w:pPr>
        <w:numPr>
          <w:ilvl w:val="0"/>
          <w:numId w:val="4"/>
        </w:numPr>
        <w:ind w:firstLine="709"/>
        <w:jc w:val="both"/>
        <w:rPr>
          <w:sz w:val="24"/>
          <w:szCs w:val="24"/>
        </w:rPr>
      </w:pPr>
      <w:r>
        <w:rPr>
          <w:sz w:val="24"/>
          <w:szCs w:val="24"/>
        </w:rPr>
        <w:t>Одновременно сообщаем, что сведения о страховом стаже застрахованных лиц, начиная с 01.01.2023, страхователи должны представлять в органы СФР только в случаях, поименованных в пункте 3 статьи 11 Закона № 27-ФЗ (например, если будет выполняться раб</w:t>
      </w:r>
      <w:r>
        <w:rPr>
          <w:sz w:val="24"/>
          <w:szCs w:val="24"/>
        </w:rPr>
        <w:t>ота, дающая право на досрочное назначение страховой пенсии по старости, если в какой-то период работник будет находиться в отпуске без сохранения заработной платы и т.д.). На таких лиц названные сведения предоставляются страхователями по окончании календар</w:t>
      </w:r>
      <w:r>
        <w:rPr>
          <w:sz w:val="24"/>
          <w:szCs w:val="24"/>
        </w:rPr>
        <w:t>ного года не позднее 25-го числа месяца за отчетным периодом.</w:t>
      </w:r>
    </w:p>
    <w:p w:rsidR="00AF1024" w:rsidRDefault="00475F9D">
      <w:pPr>
        <w:numPr>
          <w:ilvl w:val="0"/>
          <w:numId w:val="4"/>
        </w:numPr>
        <w:ind w:firstLine="709"/>
        <w:jc w:val="both"/>
        <w:rPr>
          <w:sz w:val="24"/>
          <w:szCs w:val="24"/>
        </w:rPr>
      </w:pPr>
      <w:r>
        <w:rPr>
          <w:sz w:val="24"/>
          <w:szCs w:val="24"/>
        </w:rPr>
        <w:t>Сведения о стаже на иные категории застрахованных лиц (не указанные в пункте 3 статьи 11 Закона № 27-ФЗ) формируются Социальным фондом России самостоятельно один раз в год (в следующем за отчетн</w:t>
      </w:r>
      <w:r>
        <w:rPr>
          <w:sz w:val="24"/>
          <w:szCs w:val="24"/>
        </w:rPr>
        <w:t>ым годом календарном году) на основании сведений, имеющихся в распоряжении СФР (в том числе сведений о трудовой деятельности, о работе по договорам ГПХ, сведений, содержащихся в отчетных документах, представленных страхователями в налоговые органы и поступ</w:t>
      </w:r>
      <w:r>
        <w:rPr>
          <w:sz w:val="24"/>
          <w:szCs w:val="24"/>
        </w:rPr>
        <w:t>ивших в органы СФР из налоговых органов).</w:t>
      </w:r>
    </w:p>
    <w:p w:rsidR="00AF1024" w:rsidRDefault="00AF1024">
      <w:pPr>
        <w:pStyle w:val="ac"/>
        <w:widowControl w:val="0"/>
        <w:numPr>
          <w:ilvl w:val="2"/>
          <w:numId w:val="4"/>
        </w:numPr>
        <w:autoSpaceDE w:val="0"/>
        <w:ind w:firstLine="709"/>
        <w:jc w:val="both"/>
        <w:rPr>
          <w:sz w:val="24"/>
          <w:szCs w:val="24"/>
        </w:rPr>
      </w:pPr>
    </w:p>
    <w:p w:rsidR="00AF1024" w:rsidRDefault="00475F9D">
      <w:pPr>
        <w:ind w:firstLine="709"/>
        <w:jc w:val="both"/>
        <w:rPr>
          <w:sz w:val="24"/>
          <w:szCs w:val="24"/>
        </w:rPr>
      </w:pPr>
      <w:r>
        <w:rPr>
          <w:sz w:val="24"/>
          <w:szCs w:val="24"/>
        </w:rPr>
        <w:t xml:space="preserve">Обращаем Ваше внимание, что отсутствие у застрахованного лица кадровых мероприятий (в том числе у </w:t>
      </w:r>
      <w:r>
        <w:rPr>
          <w:color w:val="C00000"/>
          <w:sz w:val="24"/>
          <w:szCs w:val="24"/>
        </w:rPr>
        <w:t>руководителей организаций, являющихся единственными участниками (учредителями) за периоды, начиная с 01.01.2026</w:t>
      </w:r>
      <w:r>
        <w:rPr>
          <w:sz w:val="24"/>
          <w:szCs w:val="24"/>
        </w:rPr>
        <w:t>) пр</w:t>
      </w:r>
      <w:r>
        <w:rPr>
          <w:sz w:val="24"/>
          <w:szCs w:val="24"/>
        </w:rPr>
        <w:t>иводит к нарушению его пенсионных прав при оказании любой государственной услуги, при которой учитывается факт работы (например, может послужить основанием для отказа в назначении и перерасчете пенсий, пособий по временной нетрудоспособности и других социа</w:t>
      </w:r>
      <w:r>
        <w:rPr>
          <w:sz w:val="24"/>
          <w:szCs w:val="24"/>
        </w:rPr>
        <w:t>льных выплат).</w:t>
      </w:r>
    </w:p>
    <w:p w:rsidR="00AF1024" w:rsidRDefault="00AF1024">
      <w:pPr>
        <w:widowControl w:val="0"/>
        <w:autoSpaceDE w:val="0"/>
        <w:autoSpaceDN w:val="0"/>
        <w:adjustRightInd w:val="0"/>
        <w:ind w:firstLine="709"/>
        <w:contextualSpacing/>
        <w:jc w:val="both"/>
        <w:rPr>
          <w:bCs/>
          <w:sz w:val="24"/>
          <w:szCs w:val="24"/>
          <w:lang w:eastAsia="x-none"/>
        </w:rPr>
      </w:pPr>
    </w:p>
    <w:sectPr w:rsidR="00AF1024">
      <w:pgSz w:w="11906" w:h="16838"/>
      <w:pgMar w:top="567" w:right="567" w:bottom="567" w:left="56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F9D" w:rsidRDefault="00475F9D">
      <w:r>
        <w:separator/>
      </w:r>
    </w:p>
  </w:endnote>
  <w:endnote w:type="continuationSeparator" w:id="0">
    <w:p w:rsidR="00475F9D" w:rsidRDefault="00475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F9D" w:rsidRDefault="00475F9D">
      <w:r>
        <w:separator/>
      </w:r>
    </w:p>
  </w:footnote>
  <w:footnote w:type="continuationSeparator" w:id="0">
    <w:p w:rsidR="00475F9D" w:rsidRDefault="00475F9D">
      <w:r>
        <w:continuationSeparator/>
      </w:r>
    </w:p>
  </w:footnote>
  <w:footnote w:id="1">
    <w:p w:rsidR="00AF1024" w:rsidRDefault="00475F9D">
      <w:pPr>
        <w:pStyle w:val="ad"/>
      </w:pPr>
      <w:r>
        <w:rPr>
          <w:rStyle w:val="af"/>
        </w:rPr>
        <w:footnoteRef/>
      </w:r>
      <w:r>
        <w:t xml:space="preserve"> Далее – форма ЕФС-1</w:t>
      </w:r>
    </w:p>
  </w:footnote>
  <w:footnote w:id="2">
    <w:p w:rsidR="00AF1024" w:rsidRDefault="00475F9D">
      <w:pPr>
        <w:pStyle w:val="ad"/>
      </w:pPr>
      <w:r>
        <w:rPr>
          <w:rStyle w:val="af"/>
        </w:rPr>
        <w:footnoteRef/>
      </w:r>
      <w:r>
        <w:t xml:space="preserve"> Далее – НК РФ</w:t>
      </w:r>
    </w:p>
  </w:footnote>
  <w:footnote w:id="3">
    <w:p w:rsidR="00AF1024" w:rsidRDefault="00475F9D">
      <w:pPr>
        <w:pStyle w:val="ad"/>
      </w:pPr>
      <w:r>
        <w:rPr>
          <w:rStyle w:val="af"/>
        </w:rPr>
        <w:footnoteRef/>
      </w:r>
      <w:r>
        <w:t xml:space="preserve"> Далее – </w:t>
      </w:r>
      <w:r>
        <w:rPr>
          <w:bCs/>
          <w:lang w:eastAsia="x-none"/>
        </w:rPr>
        <w:t>Минимальный размер оплаты труда</w:t>
      </w:r>
    </w:p>
  </w:footnote>
  <w:footnote w:id="4">
    <w:p w:rsidR="00AF1024" w:rsidRDefault="00475F9D">
      <w:pPr>
        <w:pStyle w:val="ad"/>
        <w:jc w:val="both"/>
      </w:pPr>
      <w:r>
        <w:rPr>
          <w:rStyle w:val="af"/>
        </w:rPr>
        <w:footnoteRef/>
      </w:r>
      <w:r>
        <w:t xml:space="preserve"> В том </w:t>
      </w:r>
      <w:r>
        <w:rPr>
          <w:bCs/>
          <w:lang w:eastAsia="x-none"/>
        </w:rPr>
        <w:t xml:space="preserve">числе, Федеральных законов от 15 декабря 2001 года № 167-ФЗ «Об обязательном </w:t>
      </w:r>
      <w:r>
        <w:rPr>
          <w:bCs/>
          <w:lang w:eastAsia="x-none"/>
        </w:rPr>
        <w:t>пенсионном страховании в Российской Федерации», от 29 декабря 2006 года № 255-ФЗ «Об обязательном социальном страховании на случай временной нетрудоспособности и в связи с материнством», НК РФ.</w:t>
      </w:r>
    </w:p>
  </w:footnote>
  <w:footnote w:id="5">
    <w:p w:rsidR="00AF1024" w:rsidRDefault="00475F9D">
      <w:pPr>
        <w:numPr>
          <w:ilvl w:val="0"/>
          <w:numId w:val="4"/>
        </w:numPr>
        <w:jc w:val="both"/>
        <w:rPr>
          <w:bCs/>
          <w:sz w:val="24"/>
          <w:szCs w:val="24"/>
          <w:lang w:eastAsia="x-none"/>
        </w:rPr>
      </w:pPr>
      <w:r>
        <w:rPr>
          <w:rStyle w:val="af"/>
        </w:rPr>
        <w:footnoteRef/>
      </w:r>
      <w:r>
        <w:t xml:space="preserve"> </w:t>
      </w:r>
      <w:r>
        <w:rPr>
          <w:bCs/>
          <w:lang w:eastAsia="x-none"/>
        </w:rPr>
        <w:t>либо указание соответствующей даты наделения полномочий посл</w:t>
      </w:r>
      <w:r>
        <w:rPr>
          <w:bCs/>
          <w:lang w:eastAsia="x-none"/>
        </w:rPr>
        <w:t>е 1 января 2026 года</w:t>
      </w:r>
      <w:r>
        <w:rPr>
          <w:bCs/>
          <w:sz w:val="24"/>
          <w:szCs w:val="24"/>
          <w:lang w:eastAsia="x-none"/>
        </w:rPr>
        <w:t xml:space="preserve"> </w:t>
      </w:r>
    </w:p>
  </w:footnote>
  <w:footnote w:id="6">
    <w:p w:rsidR="00AF1024" w:rsidRDefault="00475F9D">
      <w:pPr>
        <w:pStyle w:val="ad"/>
      </w:pPr>
      <w:r>
        <w:rPr>
          <w:rStyle w:val="af"/>
        </w:rPr>
        <w:footnoteRef/>
      </w:r>
      <w:r>
        <w:t xml:space="preserve"> должность согласно документам страхователя</w:t>
      </w:r>
    </w:p>
  </w:footnote>
  <w:footnote w:id="7">
    <w:p w:rsidR="00AF1024" w:rsidRDefault="00475F9D">
      <w:pPr>
        <w:pStyle w:val="ad"/>
      </w:pPr>
      <w:r>
        <w:rPr>
          <w:rStyle w:val="af"/>
        </w:rPr>
        <w:footnoteRef/>
      </w:r>
      <w:r>
        <w:t xml:space="preserve"> Код согласно «ОК 010-2014 (МСКЗ-08). Общероссийский классификатор занятий» (принят и введен в действие Приказом </w:t>
      </w:r>
      <w:proofErr w:type="spellStart"/>
      <w:r>
        <w:t>Росстандарта</w:t>
      </w:r>
      <w:proofErr w:type="spellEnd"/>
      <w:r>
        <w:t xml:space="preserve"> от 12.12.2014 № 2020-ст).</w:t>
      </w:r>
    </w:p>
  </w:footnote>
  <w:footnote w:id="8">
    <w:p w:rsidR="00AF1024" w:rsidRDefault="00475F9D">
      <w:pPr>
        <w:pStyle w:val="ad"/>
      </w:pPr>
      <w:r>
        <w:rPr>
          <w:rStyle w:val="af"/>
        </w:rPr>
        <w:footnoteRef/>
      </w:r>
      <w:r>
        <w:t xml:space="preserve"> приказ (распоряжение), иное решени</w:t>
      </w:r>
      <w:r>
        <w:t>е или документ страхователя о назначении (избрании) на должность</w:t>
      </w:r>
    </w:p>
  </w:footnote>
  <w:footnote w:id="9">
    <w:p w:rsidR="00AF1024" w:rsidRDefault="00475F9D">
      <w:pPr>
        <w:pStyle w:val="ad"/>
      </w:pPr>
      <w:r>
        <w:rPr>
          <w:rStyle w:val="af"/>
        </w:rPr>
        <w:footnoteRef/>
      </w:r>
      <w:r>
        <w:t xml:space="preserve"> дата документа, подтверждающего назначение (избрание) на должность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EB2FB62"/>
    <w:lvl w:ilvl="0">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A9359A3"/>
    <w:multiLevelType w:val="singleLevel"/>
    <w:tmpl w:val="83582512"/>
    <w:lvl w:ilvl="0">
      <w:start w:val="1"/>
      <w:numFmt w:val="decimal"/>
      <w:lvlText w:val="%1."/>
      <w:legacy w:legacy="1" w:legacySpace="0" w:legacyIndent="221"/>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346"/>
        <w:lvlJc w:val="left"/>
        <w:rPr>
          <w:rFonts w:ascii="Times New Roman" w:hAnsi="Times New Roman" w:hint="default"/>
        </w:rPr>
      </w:lvl>
    </w:lvlOverride>
  </w:num>
  <w:num w:numId="2">
    <w:abstractNumId w:val="2"/>
  </w:num>
  <w:num w:numId="3">
    <w:abstractNumId w:val="0"/>
    <w:lvlOverride w:ilvl="0">
      <w:lvl w:ilvl="0">
        <w:start w:val="65535"/>
        <w:numFmt w:val="bullet"/>
        <w:lvlText w:val="•"/>
        <w:legacy w:legacy="1" w:legacySpace="0" w:legacyIndent="355"/>
        <w:lvlJc w:val="left"/>
        <w:rPr>
          <w:rFonts w:ascii="Arial" w:hAnsi="Arial" w:cs="Arial" w:hint="default"/>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024"/>
    <w:rsid w:val="002F4FF8"/>
    <w:rsid w:val="00475F9D"/>
    <w:rsid w:val="00AF1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803999-53D2-4065-9686-5C3CB053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pPr>
      <w:snapToGrid w:val="0"/>
    </w:pPr>
  </w:style>
  <w:style w:type="paragraph" w:styleId="a3">
    <w:name w:val="header"/>
    <w:basedOn w:val="a"/>
    <w:link w:val="a4"/>
    <w:uiPriority w:val="99"/>
    <w:unhideWhenUsed/>
    <w:pPr>
      <w:tabs>
        <w:tab w:val="center" w:pos="4677"/>
        <w:tab w:val="right" w:pos="9355"/>
      </w:tabs>
    </w:pPr>
  </w:style>
  <w:style w:type="character" w:customStyle="1" w:styleId="14">
    <w:name w:val="Стиль 14 пт"/>
    <w:basedOn w:val="a0"/>
    <w:rPr>
      <w:rFonts w:ascii="Times New Roman" w:hAnsi="Times New Roman"/>
      <w:sz w:val="28"/>
    </w:rPr>
  </w:style>
  <w:style w:type="character" w:styleId="a5">
    <w:name w:val="Hyperlink"/>
    <w:rPr>
      <w:color w:val="0000FF"/>
      <w:u w:val="single"/>
    </w:rPr>
  </w:style>
  <w:style w:type="paragraph" w:styleId="a6">
    <w:name w:val="Balloon Text"/>
    <w:basedOn w:val="a"/>
    <w:semiHidden/>
    <w:rPr>
      <w:rFonts w:ascii="Tahoma" w:hAnsi="Tahoma" w:cs="Tahoma"/>
      <w:sz w:val="16"/>
      <w:szCs w:val="16"/>
    </w:rPr>
  </w:style>
  <w:style w:type="character" w:customStyle="1" w:styleId="a4">
    <w:name w:val="Верхний колонтитул Знак"/>
    <w:basedOn w:val="a0"/>
    <w:link w:val="a3"/>
    <w:uiPriority w:val="99"/>
  </w:style>
  <w:style w:type="table" w:styleId="a7">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basedOn w:val="a"/>
    <w:pPr>
      <w:spacing w:after="160" w:line="240" w:lineRule="exact"/>
    </w:pPr>
    <w:rPr>
      <w:rFonts w:ascii="Verdana" w:hAnsi="Verdana" w:cs="Verdana"/>
      <w:lang w:val="en-US" w:eastAsia="en-US"/>
    </w:rPr>
  </w:style>
  <w:style w:type="character" w:customStyle="1" w:styleId="FontStyle11">
    <w:name w:val="Font Style11"/>
    <w:uiPriority w:val="99"/>
    <w:rPr>
      <w:rFonts w:ascii="Times New Roman" w:hAnsi="Times New Roman" w:cs="Times New Roman"/>
      <w:sz w:val="26"/>
      <w:szCs w:val="26"/>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style>
  <w:style w:type="paragraph" w:styleId="ab">
    <w:name w:val="Normal (Web)"/>
    <w:basedOn w:val="a"/>
    <w:uiPriority w:val="99"/>
    <w:semiHidden/>
    <w:unhideWhenUsed/>
    <w:pPr>
      <w:spacing w:before="100" w:beforeAutospacing="1" w:after="100" w:afterAutospacing="1"/>
    </w:pPr>
    <w:rPr>
      <w:sz w:val="24"/>
      <w:szCs w:val="24"/>
    </w:rPr>
  </w:style>
  <w:style w:type="paragraph" w:styleId="ac">
    <w:name w:val="List Paragraph"/>
    <w:basedOn w:val="a"/>
    <w:uiPriority w:val="34"/>
    <w:qFormat/>
    <w:pPr>
      <w:suppressAutoHyphens/>
      <w:ind w:left="720"/>
      <w:contextualSpacing/>
    </w:pPr>
    <w:rPr>
      <w:lang w:eastAsia="ar-SA"/>
    </w:rPr>
  </w:style>
  <w:style w:type="paragraph" w:styleId="ad">
    <w:name w:val="footnote text"/>
    <w:aliases w:val="Footnote Text Char Знак,Footnote Text Char Знак Знак,Footnote Text Char Знак Знак Знак Знак,Footnote Text Char Знак Знак Знак Знак Char,Footnote Text Char Знак Знак Знак Знак Char Char,Çíàê Çíàê Çíàê Çíàê,Знак5,Текст сноски45"/>
    <w:basedOn w:val="a"/>
    <w:link w:val="ae"/>
    <w:qFormat/>
  </w:style>
  <w:style w:type="character" w:customStyle="1" w:styleId="ae">
    <w:name w:val="Текст сноски Знак"/>
    <w:aliases w:val="Footnote Text Char Знак Знак1,Footnote Text Char Знак Знак Знак,Footnote Text Char Знак Знак Знак Знак Знак,Footnote Text Char Знак Знак Знак Знак Char Знак,Footnote Text Char Знак Знак Знак Знак Char Char Знак,Çíàê Çíàê Çíàê Çíàê Знак"/>
    <w:basedOn w:val="a0"/>
    <w:link w:val="ad"/>
    <w:qFormat/>
  </w:style>
  <w:style w:type="character" w:styleId="af">
    <w:name w:val="footnote reference"/>
    <w:aliases w:val="Знак сноски-FN,SUPERS,Знак сноски 1,Ciae niinee-FN,16 Point,Ciae niinee 1,Footnote Reference Number,Referencia nota al pie,Superscript 6 Point,Used by Word for Help footnote symbols,fr,Ссылка на сноску 45,анкета сноска,Footnote Reference_LVL"/>
    <w:link w:val="10"/>
    <w:uiPriority w:val="99"/>
    <w:qFormat/>
    <w:rPr>
      <w:vertAlign w:val="superscript"/>
    </w:rPr>
  </w:style>
  <w:style w:type="paragraph" w:customStyle="1" w:styleId="10">
    <w:name w:val="Знак сноски1"/>
    <w:basedOn w:val="a"/>
    <w:link w:val="af"/>
    <w:uiPriority w:val="99"/>
    <w:qFormat/>
    <w:pPr>
      <w:spacing w:after="200" w:line="276" w:lineRule="auto"/>
    </w:pPr>
    <w:rPr>
      <w:vertAlign w:val="superscript"/>
    </w:rPr>
  </w:style>
  <w:style w:type="paragraph" w:customStyle="1" w:styleId="22">
    <w:name w:val="Основной текст 22"/>
    <w:basedOn w:val="a"/>
    <w:pPr>
      <w:suppressAutoHyphens/>
      <w:spacing w:line="360" w:lineRule="auto"/>
    </w:pPr>
    <w:rPr>
      <w:sz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80154">
      <w:bodyDiv w:val="1"/>
      <w:marLeft w:val="0"/>
      <w:marRight w:val="0"/>
      <w:marTop w:val="0"/>
      <w:marBottom w:val="0"/>
      <w:divBdr>
        <w:top w:val="none" w:sz="0" w:space="0" w:color="auto"/>
        <w:left w:val="none" w:sz="0" w:space="0" w:color="auto"/>
        <w:bottom w:val="none" w:sz="0" w:space="0" w:color="auto"/>
        <w:right w:val="none" w:sz="0" w:space="0" w:color="auto"/>
      </w:divBdr>
    </w:div>
    <w:div w:id="204605156">
      <w:bodyDiv w:val="1"/>
      <w:marLeft w:val="0"/>
      <w:marRight w:val="0"/>
      <w:marTop w:val="0"/>
      <w:marBottom w:val="0"/>
      <w:divBdr>
        <w:top w:val="none" w:sz="0" w:space="0" w:color="auto"/>
        <w:left w:val="none" w:sz="0" w:space="0" w:color="auto"/>
        <w:bottom w:val="none" w:sz="0" w:space="0" w:color="auto"/>
        <w:right w:val="none" w:sz="0" w:space="0" w:color="auto"/>
      </w:divBdr>
    </w:div>
    <w:div w:id="437259821">
      <w:bodyDiv w:val="1"/>
      <w:marLeft w:val="0"/>
      <w:marRight w:val="0"/>
      <w:marTop w:val="0"/>
      <w:marBottom w:val="0"/>
      <w:divBdr>
        <w:top w:val="none" w:sz="0" w:space="0" w:color="auto"/>
        <w:left w:val="none" w:sz="0" w:space="0" w:color="auto"/>
        <w:bottom w:val="none" w:sz="0" w:space="0" w:color="auto"/>
        <w:right w:val="none" w:sz="0" w:space="0" w:color="auto"/>
      </w:divBdr>
    </w:div>
    <w:div w:id="732193894">
      <w:bodyDiv w:val="1"/>
      <w:marLeft w:val="0"/>
      <w:marRight w:val="0"/>
      <w:marTop w:val="0"/>
      <w:marBottom w:val="0"/>
      <w:divBdr>
        <w:top w:val="none" w:sz="0" w:space="0" w:color="auto"/>
        <w:left w:val="none" w:sz="0" w:space="0" w:color="auto"/>
        <w:bottom w:val="none" w:sz="0" w:space="0" w:color="auto"/>
        <w:right w:val="none" w:sz="0" w:space="0" w:color="auto"/>
      </w:divBdr>
      <w:divsChild>
        <w:div w:id="852887553">
          <w:marLeft w:val="0"/>
          <w:marRight w:val="0"/>
          <w:marTop w:val="0"/>
          <w:marBottom w:val="0"/>
          <w:divBdr>
            <w:top w:val="none" w:sz="0" w:space="0" w:color="auto"/>
            <w:left w:val="none" w:sz="0" w:space="0" w:color="auto"/>
            <w:bottom w:val="none" w:sz="0" w:space="0" w:color="auto"/>
            <w:right w:val="none" w:sz="0" w:space="0" w:color="auto"/>
          </w:divBdr>
          <w:divsChild>
            <w:div w:id="630063485">
              <w:marLeft w:val="0"/>
              <w:marRight w:val="0"/>
              <w:marTop w:val="0"/>
              <w:marBottom w:val="0"/>
              <w:divBdr>
                <w:top w:val="none" w:sz="0" w:space="0" w:color="auto"/>
                <w:left w:val="none" w:sz="0" w:space="0" w:color="auto"/>
                <w:bottom w:val="none" w:sz="0" w:space="0" w:color="auto"/>
                <w:right w:val="none" w:sz="0" w:space="0" w:color="auto"/>
              </w:divBdr>
              <w:divsChild>
                <w:div w:id="116681359">
                  <w:marLeft w:val="0"/>
                  <w:marRight w:val="0"/>
                  <w:marTop w:val="0"/>
                  <w:marBottom w:val="0"/>
                  <w:divBdr>
                    <w:top w:val="none" w:sz="0" w:space="0" w:color="auto"/>
                    <w:left w:val="none" w:sz="0" w:space="0" w:color="auto"/>
                    <w:bottom w:val="none" w:sz="0" w:space="0" w:color="auto"/>
                    <w:right w:val="none" w:sz="0" w:space="0" w:color="auto"/>
                  </w:divBdr>
                  <w:divsChild>
                    <w:div w:id="1434206416">
                      <w:marLeft w:val="0"/>
                      <w:marRight w:val="0"/>
                      <w:marTop w:val="0"/>
                      <w:marBottom w:val="0"/>
                      <w:divBdr>
                        <w:top w:val="none" w:sz="0" w:space="0" w:color="auto"/>
                        <w:left w:val="none" w:sz="0" w:space="0" w:color="auto"/>
                        <w:bottom w:val="none" w:sz="0" w:space="0" w:color="auto"/>
                        <w:right w:val="none" w:sz="0" w:space="0" w:color="auto"/>
                      </w:divBdr>
                      <w:divsChild>
                        <w:div w:id="2016610910">
                          <w:marLeft w:val="0"/>
                          <w:marRight w:val="0"/>
                          <w:marTop w:val="0"/>
                          <w:marBottom w:val="0"/>
                          <w:divBdr>
                            <w:top w:val="none" w:sz="0" w:space="0" w:color="auto"/>
                            <w:left w:val="none" w:sz="0" w:space="0" w:color="auto"/>
                            <w:bottom w:val="none" w:sz="0" w:space="0" w:color="auto"/>
                            <w:right w:val="none" w:sz="0" w:space="0" w:color="auto"/>
                          </w:divBdr>
                          <w:divsChild>
                            <w:div w:id="780144794">
                              <w:marLeft w:val="0"/>
                              <w:marRight w:val="0"/>
                              <w:marTop w:val="0"/>
                              <w:marBottom w:val="0"/>
                              <w:divBdr>
                                <w:top w:val="none" w:sz="0" w:space="0" w:color="auto"/>
                                <w:left w:val="none" w:sz="0" w:space="0" w:color="auto"/>
                                <w:bottom w:val="none" w:sz="0" w:space="0" w:color="auto"/>
                                <w:right w:val="none" w:sz="0" w:space="0" w:color="auto"/>
                              </w:divBdr>
                              <w:divsChild>
                                <w:div w:id="1905987956">
                                  <w:marLeft w:val="0"/>
                                  <w:marRight w:val="0"/>
                                  <w:marTop w:val="0"/>
                                  <w:marBottom w:val="0"/>
                                  <w:divBdr>
                                    <w:top w:val="none" w:sz="0" w:space="0" w:color="auto"/>
                                    <w:left w:val="none" w:sz="0" w:space="0" w:color="auto"/>
                                    <w:bottom w:val="none" w:sz="0" w:space="0" w:color="auto"/>
                                    <w:right w:val="none" w:sz="0" w:space="0" w:color="auto"/>
                                  </w:divBdr>
                                  <w:divsChild>
                                    <w:div w:id="449975964">
                                      <w:marLeft w:val="0"/>
                                      <w:marRight w:val="0"/>
                                      <w:marTop w:val="0"/>
                                      <w:marBottom w:val="0"/>
                                      <w:divBdr>
                                        <w:top w:val="none" w:sz="0" w:space="0" w:color="auto"/>
                                        <w:left w:val="none" w:sz="0" w:space="0" w:color="auto"/>
                                        <w:bottom w:val="none" w:sz="0" w:space="0" w:color="auto"/>
                                        <w:right w:val="none" w:sz="0" w:space="0" w:color="auto"/>
                                      </w:divBdr>
                                      <w:divsChild>
                                        <w:div w:id="1381902513">
                                          <w:marLeft w:val="0"/>
                                          <w:marRight w:val="0"/>
                                          <w:marTop w:val="0"/>
                                          <w:marBottom w:val="0"/>
                                          <w:divBdr>
                                            <w:top w:val="none" w:sz="0" w:space="0" w:color="auto"/>
                                            <w:left w:val="none" w:sz="0" w:space="0" w:color="auto"/>
                                            <w:bottom w:val="none" w:sz="0" w:space="0" w:color="auto"/>
                                            <w:right w:val="none" w:sz="0" w:space="0" w:color="auto"/>
                                          </w:divBdr>
                                          <w:divsChild>
                                            <w:div w:id="1221599136">
                                              <w:marLeft w:val="0"/>
                                              <w:marRight w:val="0"/>
                                              <w:marTop w:val="0"/>
                                              <w:marBottom w:val="0"/>
                                              <w:divBdr>
                                                <w:top w:val="none" w:sz="0" w:space="0" w:color="auto"/>
                                                <w:left w:val="none" w:sz="0" w:space="0" w:color="auto"/>
                                                <w:bottom w:val="none" w:sz="0" w:space="0" w:color="auto"/>
                                                <w:right w:val="none" w:sz="0" w:space="0" w:color="auto"/>
                                              </w:divBdr>
                                              <w:divsChild>
                                                <w:div w:id="167333188">
                                                  <w:marLeft w:val="0"/>
                                                  <w:marRight w:val="0"/>
                                                  <w:marTop w:val="0"/>
                                                  <w:marBottom w:val="0"/>
                                                  <w:divBdr>
                                                    <w:top w:val="none" w:sz="0" w:space="0" w:color="auto"/>
                                                    <w:left w:val="none" w:sz="0" w:space="0" w:color="auto"/>
                                                    <w:bottom w:val="none" w:sz="0" w:space="0" w:color="auto"/>
                                                    <w:right w:val="none" w:sz="0" w:space="0" w:color="auto"/>
                                                  </w:divBdr>
                                                  <w:divsChild>
                                                    <w:div w:id="715589115">
                                                      <w:marLeft w:val="0"/>
                                                      <w:marRight w:val="0"/>
                                                      <w:marTop w:val="0"/>
                                                      <w:marBottom w:val="0"/>
                                                      <w:divBdr>
                                                        <w:top w:val="none" w:sz="0" w:space="0" w:color="auto"/>
                                                        <w:left w:val="none" w:sz="0" w:space="0" w:color="auto"/>
                                                        <w:bottom w:val="none" w:sz="0" w:space="0" w:color="auto"/>
                                                        <w:right w:val="none" w:sz="0" w:space="0" w:color="auto"/>
                                                      </w:divBdr>
                                                      <w:divsChild>
                                                        <w:div w:id="354966662">
                                                          <w:marLeft w:val="0"/>
                                                          <w:marRight w:val="0"/>
                                                          <w:marTop w:val="0"/>
                                                          <w:marBottom w:val="0"/>
                                                          <w:divBdr>
                                                            <w:top w:val="none" w:sz="0" w:space="0" w:color="auto"/>
                                                            <w:left w:val="none" w:sz="0" w:space="0" w:color="auto"/>
                                                            <w:bottom w:val="none" w:sz="0" w:space="0" w:color="auto"/>
                                                            <w:right w:val="none" w:sz="0" w:space="0" w:color="auto"/>
                                                          </w:divBdr>
                                                          <w:divsChild>
                                                            <w:div w:id="2131170406">
                                                              <w:marLeft w:val="0"/>
                                                              <w:marRight w:val="0"/>
                                                              <w:marTop w:val="0"/>
                                                              <w:marBottom w:val="0"/>
                                                              <w:divBdr>
                                                                <w:top w:val="none" w:sz="0" w:space="0" w:color="auto"/>
                                                                <w:left w:val="none" w:sz="0" w:space="0" w:color="auto"/>
                                                                <w:bottom w:val="none" w:sz="0" w:space="0" w:color="auto"/>
                                                                <w:right w:val="none" w:sz="0" w:space="0" w:color="auto"/>
                                                              </w:divBdr>
                                                              <w:divsChild>
                                                                <w:div w:id="972100549">
                                                                  <w:marLeft w:val="0"/>
                                                                  <w:marRight w:val="0"/>
                                                                  <w:marTop w:val="0"/>
                                                                  <w:marBottom w:val="0"/>
                                                                  <w:divBdr>
                                                                    <w:top w:val="none" w:sz="0" w:space="0" w:color="auto"/>
                                                                    <w:left w:val="none" w:sz="0" w:space="0" w:color="auto"/>
                                                                    <w:bottom w:val="none" w:sz="0" w:space="0" w:color="auto"/>
                                                                    <w:right w:val="none" w:sz="0" w:space="0" w:color="auto"/>
                                                                  </w:divBdr>
                                                                  <w:divsChild>
                                                                    <w:div w:id="847326423">
                                                                      <w:marLeft w:val="0"/>
                                                                      <w:marRight w:val="0"/>
                                                                      <w:marTop w:val="0"/>
                                                                      <w:marBottom w:val="0"/>
                                                                      <w:divBdr>
                                                                        <w:top w:val="none" w:sz="0" w:space="0" w:color="auto"/>
                                                                        <w:left w:val="none" w:sz="0" w:space="0" w:color="auto"/>
                                                                        <w:bottom w:val="none" w:sz="0" w:space="0" w:color="auto"/>
                                                                        <w:right w:val="none" w:sz="0" w:space="0" w:color="auto"/>
                                                                      </w:divBdr>
                                                                      <w:divsChild>
                                                                        <w:div w:id="2112310599">
                                                                          <w:marLeft w:val="0"/>
                                                                          <w:marRight w:val="0"/>
                                                                          <w:marTop w:val="0"/>
                                                                          <w:marBottom w:val="0"/>
                                                                          <w:divBdr>
                                                                            <w:top w:val="none" w:sz="0" w:space="0" w:color="auto"/>
                                                                            <w:left w:val="none" w:sz="0" w:space="0" w:color="auto"/>
                                                                            <w:bottom w:val="none" w:sz="0" w:space="0" w:color="auto"/>
                                                                            <w:right w:val="none" w:sz="0" w:space="0" w:color="auto"/>
                                                                          </w:divBdr>
                                                                          <w:divsChild>
                                                                            <w:div w:id="974872909">
                                                                              <w:marLeft w:val="0"/>
                                                                              <w:marRight w:val="0"/>
                                                                              <w:marTop w:val="0"/>
                                                                              <w:marBottom w:val="0"/>
                                                                              <w:divBdr>
                                                                                <w:top w:val="none" w:sz="0" w:space="0" w:color="auto"/>
                                                                                <w:left w:val="none" w:sz="0" w:space="0" w:color="auto"/>
                                                                                <w:bottom w:val="none" w:sz="0" w:space="0" w:color="auto"/>
                                                                                <w:right w:val="none" w:sz="0" w:space="0" w:color="auto"/>
                                                                              </w:divBdr>
                                                                              <w:divsChild>
                                                                                <w:div w:id="952053992">
                                                                                  <w:marLeft w:val="0"/>
                                                                                  <w:marRight w:val="0"/>
                                                                                  <w:marTop w:val="0"/>
                                                                                  <w:marBottom w:val="0"/>
                                                                                  <w:divBdr>
                                                                                    <w:top w:val="none" w:sz="0" w:space="0" w:color="auto"/>
                                                                                    <w:left w:val="none" w:sz="0" w:space="0" w:color="auto"/>
                                                                                    <w:bottom w:val="none" w:sz="0" w:space="0" w:color="auto"/>
                                                                                    <w:right w:val="none" w:sz="0" w:space="0" w:color="auto"/>
                                                                                  </w:divBdr>
                                                                                  <w:divsChild>
                                                                                    <w:div w:id="571619907">
                                                                                      <w:marLeft w:val="0"/>
                                                                                      <w:marRight w:val="0"/>
                                                                                      <w:marTop w:val="0"/>
                                                                                      <w:marBottom w:val="0"/>
                                                                                      <w:divBdr>
                                                                                        <w:top w:val="none" w:sz="0" w:space="0" w:color="auto"/>
                                                                                        <w:left w:val="none" w:sz="0" w:space="0" w:color="auto"/>
                                                                                        <w:bottom w:val="none" w:sz="0" w:space="0" w:color="auto"/>
                                                                                        <w:right w:val="none" w:sz="0" w:space="0" w:color="auto"/>
                                                                                      </w:divBdr>
                                                                                      <w:divsChild>
                                                                                        <w:div w:id="570115269">
                                                                                          <w:marLeft w:val="0"/>
                                                                                          <w:marRight w:val="0"/>
                                                                                          <w:marTop w:val="0"/>
                                                                                          <w:marBottom w:val="0"/>
                                                                                          <w:divBdr>
                                                                                            <w:top w:val="none" w:sz="0" w:space="0" w:color="auto"/>
                                                                                            <w:left w:val="none" w:sz="0" w:space="0" w:color="auto"/>
                                                                                            <w:bottom w:val="none" w:sz="0" w:space="0" w:color="auto"/>
                                                                                            <w:right w:val="none" w:sz="0" w:space="0" w:color="auto"/>
                                                                                          </w:divBdr>
                                                                                          <w:divsChild>
                                                                                            <w:div w:id="208780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9273044">
          <w:marLeft w:val="0"/>
          <w:marRight w:val="0"/>
          <w:marTop w:val="0"/>
          <w:marBottom w:val="0"/>
          <w:divBdr>
            <w:top w:val="none" w:sz="0" w:space="0" w:color="auto"/>
            <w:left w:val="none" w:sz="0" w:space="0" w:color="auto"/>
            <w:bottom w:val="none" w:sz="0" w:space="0" w:color="auto"/>
            <w:right w:val="none" w:sz="0" w:space="0" w:color="auto"/>
          </w:divBdr>
          <w:divsChild>
            <w:div w:id="1100030778">
              <w:marLeft w:val="0"/>
              <w:marRight w:val="0"/>
              <w:marTop w:val="0"/>
              <w:marBottom w:val="0"/>
              <w:divBdr>
                <w:top w:val="none" w:sz="0" w:space="0" w:color="auto"/>
                <w:left w:val="none" w:sz="0" w:space="0" w:color="auto"/>
                <w:bottom w:val="none" w:sz="0" w:space="0" w:color="auto"/>
                <w:right w:val="none" w:sz="0" w:space="0" w:color="auto"/>
              </w:divBdr>
              <w:divsChild>
                <w:div w:id="2044939014">
                  <w:marLeft w:val="0"/>
                  <w:marRight w:val="0"/>
                  <w:marTop w:val="0"/>
                  <w:marBottom w:val="0"/>
                  <w:divBdr>
                    <w:top w:val="none" w:sz="0" w:space="0" w:color="auto"/>
                    <w:left w:val="none" w:sz="0" w:space="0" w:color="auto"/>
                    <w:bottom w:val="none" w:sz="0" w:space="0" w:color="auto"/>
                    <w:right w:val="none" w:sz="0" w:space="0" w:color="auto"/>
                  </w:divBdr>
                  <w:divsChild>
                    <w:div w:id="56121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715452">
      <w:bodyDiv w:val="1"/>
      <w:marLeft w:val="0"/>
      <w:marRight w:val="0"/>
      <w:marTop w:val="0"/>
      <w:marBottom w:val="0"/>
      <w:divBdr>
        <w:top w:val="none" w:sz="0" w:space="0" w:color="auto"/>
        <w:left w:val="none" w:sz="0" w:space="0" w:color="auto"/>
        <w:bottom w:val="none" w:sz="0" w:space="0" w:color="auto"/>
        <w:right w:val="none" w:sz="0" w:space="0" w:color="auto"/>
      </w:divBdr>
    </w:div>
    <w:div w:id="841973058">
      <w:bodyDiv w:val="1"/>
      <w:marLeft w:val="0"/>
      <w:marRight w:val="0"/>
      <w:marTop w:val="0"/>
      <w:marBottom w:val="0"/>
      <w:divBdr>
        <w:top w:val="none" w:sz="0" w:space="0" w:color="auto"/>
        <w:left w:val="none" w:sz="0" w:space="0" w:color="auto"/>
        <w:bottom w:val="none" w:sz="0" w:space="0" w:color="auto"/>
        <w:right w:val="none" w:sz="0" w:space="0" w:color="auto"/>
      </w:divBdr>
    </w:div>
    <w:div w:id="875969120">
      <w:bodyDiv w:val="1"/>
      <w:marLeft w:val="0"/>
      <w:marRight w:val="0"/>
      <w:marTop w:val="0"/>
      <w:marBottom w:val="0"/>
      <w:divBdr>
        <w:top w:val="none" w:sz="0" w:space="0" w:color="auto"/>
        <w:left w:val="none" w:sz="0" w:space="0" w:color="auto"/>
        <w:bottom w:val="none" w:sz="0" w:space="0" w:color="auto"/>
        <w:right w:val="none" w:sz="0" w:space="0" w:color="auto"/>
      </w:divBdr>
    </w:div>
    <w:div w:id="1133910830">
      <w:bodyDiv w:val="1"/>
      <w:marLeft w:val="0"/>
      <w:marRight w:val="0"/>
      <w:marTop w:val="0"/>
      <w:marBottom w:val="0"/>
      <w:divBdr>
        <w:top w:val="none" w:sz="0" w:space="0" w:color="auto"/>
        <w:left w:val="none" w:sz="0" w:space="0" w:color="auto"/>
        <w:bottom w:val="none" w:sz="0" w:space="0" w:color="auto"/>
        <w:right w:val="none" w:sz="0" w:space="0" w:color="auto"/>
      </w:divBdr>
    </w:div>
    <w:div w:id="1345478126">
      <w:bodyDiv w:val="1"/>
      <w:marLeft w:val="0"/>
      <w:marRight w:val="0"/>
      <w:marTop w:val="0"/>
      <w:marBottom w:val="0"/>
      <w:divBdr>
        <w:top w:val="none" w:sz="0" w:space="0" w:color="auto"/>
        <w:left w:val="none" w:sz="0" w:space="0" w:color="auto"/>
        <w:bottom w:val="none" w:sz="0" w:space="0" w:color="auto"/>
        <w:right w:val="none" w:sz="0" w:space="0" w:color="auto"/>
      </w:divBdr>
    </w:div>
    <w:div w:id="1623001888">
      <w:bodyDiv w:val="1"/>
      <w:marLeft w:val="0"/>
      <w:marRight w:val="0"/>
      <w:marTop w:val="0"/>
      <w:marBottom w:val="0"/>
      <w:divBdr>
        <w:top w:val="none" w:sz="0" w:space="0" w:color="auto"/>
        <w:left w:val="none" w:sz="0" w:space="0" w:color="auto"/>
        <w:bottom w:val="none" w:sz="0" w:space="0" w:color="auto"/>
        <w:right w:val="none" w:sz="0" w:space="0" w:color="auto"/>
      </w:divBdr>
    </w:div>
    <w:div w:id="1672027544">
      <w:bodyDiv w:val="1"/>
      <w:marLeft w:val="0"/>
      <w:marRight w:val="0"/>
      <w:marTop w:val="0"/>
      <w:marBottom w:val="0"/>
      <w:divBdr>
        <w:top w:val="none" w:sz="0" w:space="0" w:color="auto"/>
        <w:left w:val="none" w:sz="0" w:space="0" w:color="auto"/>
        <w:bottom w:val="none" w:sz="0" w:space="0" w:color="auto"/>
        <w:right w:val="none" w:sz="0" w:space="0" w:color="auto"/>
      </w:divBdr>
    </w:div>
    <w:div w:id="179151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86337&amp;dst=100518"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34743&amp;dst=100624" TargetMode="External"/><Relationship Id="rId4" Type="http://schemas.openxmlformats.org/officeDocument/2006/relationships/settings" Target="settings.xml"/><Relationship Id="rId9" Type="http://schemas.openxmlformats.org/officeDocument/2006/relationships/image" Target="cid:image001.png@01D94150.7FE5DC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04F0B-AB69-4FBF-BD56-A07D5F3D8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797</Words>
  <Characters>4543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MRO FSS RF</Company>
  <LinksUpToDate>false</LinksUpToDate>
  <CharactersWithSpaces>5330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Чупраков А.В.</dc:creator>
  <cp:lastModifiedBy>Орлова Анна Александровна</cp:lastModifiedBy>
  <cp:revision>2</cp:revision>
  <cp:lastPrinted>2026-09-17T12:47:00Z</cp:lastPrinted>
  <dcterms:created xsi:type="dcterms:W3CDTF">2026-10-05T13:01:00Z</dcterms:created>
  <dcterms:modified xsi:type="dcterms:W3CDTF">2026-10-05T13:01:00Z</dcterms:modified>
</cp:coreProperties>
</file>