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rPr>
          <w:b/>
          <w:color w:val="365F91"/>
          <w:sz w:val="26"/>
          <w:szCs w:val="26"/>
        </w:rPr>
      </w:pPr>
      <w:bookmarkStart w:id="0" w:name="_GoBack"/>
      <w:bookmarkEnd w:id="0"/>
      <w:r>
        <w:rPr>
          <w:noProof/>
        </w:rPr>
        <w:drawing>
          <wp:anchor distT="0" distB="0" distL="114300" distR="114300" simplePos="0" relativeHeight="251659264" behindDoc="0" locked="0" layoutInCell="1" allowOverlap="1">
            <wp:simplePos x="0" y="0"/>
            <wp:positionH relativeFrom="margin">
              <wp:posOffset>-160020</wp:posOffset>
            </wp:positionH>
            <wp:positionV relativeFrom="margin">
              <wp:posOffset>-84455</wp:posOffset>
            </wp:positionV>
            <wp:extent cx="1274445" cy="771525"/>
            <wp:effectExtent l="0" t="0" r="1905" b="9525"/>
            <wp:wrapSquare wrapText="bothSides"/>
            <wp:docPr id="1" name="Рисунок 1" descr="Описание: cid:image002.png@01D925A7.4CE2ABF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cid:image002.png@01D925A7.4CE2ABF0"/>
                    <pic:cNvPicPr>
                      <a:picLocks noChangeAspect="1" noChangeArrowheads="1"/>
                    </pic:cNvPicPr>
                  </pic:nvPicPr>
                  <pic:blipFill>
                    <a:blip r:embed="rId9" r:link="rId10">
                      <a:extLst>
                        <a:ext uri="{28A0092B-C50C-407E-A947-70E740481C1C}">
                          <a14:useLocalDpi xmlns:a14="http://schemas.microsoft.com/office/drawing/2010/main" val="0"/>
                        </a:ext>
                      </a:extLst>
                    </a:blip>
                    <a:srcRect/>
                    <a:stretch>
                      <a:fillRect/>
                    </a:stretch>
                  </pic:blipFill>
                  <pic:spPr bwMode="auto">
                    <a:xfrm>
                      <a:off x="0" y="0"/>
                      <a:ext cx="1274445" cy="771525"/>
                    </a:xfrm>
                    <a:prstGeom prst="rect">
                      <a:avLst/>
                    </a:prstGeom>
                    <a:noFill/>
                    <a:ln>
                      <a:noFill/>
                    </a:ln>
                  </pic:spPr>
                </pic:pic>
              </a:graphicData>
            </a:graphic>
            <wp14:sizeRelH relativeFrom="margin">
              <wp14:pctWidth>0</wp14:pctWidth>
            </wp14:sizeRelH>
            <wp14:sizeRelV relativeFrom="margin">
              <wp14:pctHeight>0</wp14:pctHeight>
            </wp14:sizeRelV>
          </wp:anchor>
        </w:drawing>
      </w:r>
    </w:p>
    <w:p>
      <w:pPr>
        <w:jc w:val="center"/>
        <w:rPr>
          <w:b/>
          <w:color w:val="0070C0"/>
          <w:sz w:val="26"/>
          <w:szCs w:val="26"/>
        </w:rPr>
      </w:pPr>
      <w:r>
        <w:rPr>
          <w:b/>
          <w:color w:val="0070C0"/>
          <w:sz w:val="26"/>
          <w:szCs w:val="26"/>
        </w:rPr>
        <w:t xml:space="preserve">Отделение Фонда пенсионного и социального страхования </w:t>
      </w:r>
    </w:p>
    <w:p>
      <w:pPr>
        <w:jc w:val="center"/>
        <w:rPr>
          <w:b/>
          <w:color w:val="0070C0"/>
          <w:sz w:val="26"/>
          <w:szCs w:val="26"/>
        </w:rPr>
      </w:pPr>
      <w:r>
        <w:rPr>
          <w:b/>
          <w:color w:val="0070C0"/>
          <w:sz w:val="26"/>
          <w:szCs w:val="26"/>
        </w:rPr>
        <w:t>Российской Федерации по Санкт-Петербургу и Ленинградской области</w:t>
      </w:r>
    </w:p>
    <w:p>
      <w:pPr>
        <w:jc w:val="center"/>
        <w:rPr>
          <w:b/>
          <w:color w:val="C00000"/>
          <w:sz w:val="28"/>
          <w:szCs w:val="28"/>
        </w:rPr>
      </w:pPr>
    </w:p>
    <w:p>
      <w:pPr>
        <w:ind w:firstLine="340"/>
        <w:jc w:val="center"/>
        <w:rPr>
          <w:b/>
          <w:color w:val="C00000"/>
          <w:sz w:val="26"/>
          <w:szCs w:val="26"/>
        </w:rPr>
      </w:pPr>
      <w:r>
        <w:rPr>
          <w:b/>
          <w:color w:val="C00000"/>
          <w:sz w:val="26"/>
          <w:szCs w:val="26"/>
        </w:rPr>
        <w:t>Информирование о представлении подраздела 1.3 подраздела 1 раздела 1 единой формы отчетности «Сведения для ведения индивидуального (персонифицированного) учета и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(ЕФС-1)»</w:t>
      </w:r>
      <w:r>
        <w:rPr>
          <w:rStyle w:val="af"/>
          <w:b/>
          <w:color w:val="C00000"/>
        </w:rPr>
        <w:footnoteReference w:id="1"/>
      </w:r>
    </w:p>
    <w:p>
      <w:pPr>
        <w:ind w:firstLine="340"/>
        <w:jc w:val="both"/>
        <w:rPr>
          <w:sz w:val="28"/>
          <w:szCs w:val="28"/>
        </w:rPr>
      </w:pPr>
    </w:p>
    <w:p>
      <w:pPr>
        <w:widowControl w:val="0"/>
        <w:autoSpaceDE w:val="0"/>
        <w:autoSpaceDN w:val="0"/>
        <w:adjustRightInd w:val="0"/>
        <w:ind w:firstLine="709"/>
        <w:contextualSpacing/>
        <w:jc w:val="both"/>
        <w:rPr>
          <w:sz w:val="24"/>
          <w:szCs w:val="24"/>
        </w:rPr>
      </w:pPr>
      <w:r>
        <w:rPr>
          <w:sz w:val="24"/>
          <w:szCs w:val="24"/>
        </w:rPr>
        <w:t>В соответствии со статьей 11 Федерального закона от 01.04.1996 № 27-ФЗ «Об индивидуальном (персонифицированном) учете в системах обязательного пенсионного страхования и обязательного социального страхования»</w:t>
      </w:r>
      <w:r>
        <w:rPr>
          <w:rStyle w:val="af"/>
          <w:sz w:val="24"/>
          <w:szCs w:val="24"/>
        </w:rPr>
        <w:footnoteReference w:id="2"/>
      </w:r>
      <w:r>
        <w:rPr>
          <w:sz w:val="24"/>
          <w:szCs w:val="24"/>
        </w:rPr>
        <w:t xml:space="preserve"> страхователи должны представлять в органы Фонда пенсионного и социального страхования Российской </w:t>
      </w:r>
      <w:proofErr w:type="gramStart"/>
      <w:r>
        <w:rPr>
          <w:sz w:val="24"/>
          <w:szCs w:val="24"/>
        </w:rPr>
        <w:t>Федерации</w:t>
      </w:r>
      <w:proofErr w:type="gramEnd"/>
      <w:r>
        <w:rPr>
          <w:sz w:val="24"/>
          <w:szCs w:val="24"/>
        </w:rPr>
        <w:t xml:space="preserve"> предусмотренные действующим законодательством сведения индивидуального (персонифицированного) учета о каждом работающем у них лице. </w:t>
      </w:r>
    </w:p>
    <w:p>
      <w:pPr>
        <w:widowControl w:val="0"/>
        <w:autoSpaceDE w:val="0"/>
        <w:autoSpaceDN w:val="0"/>
        <w:adjustRightInd w:val="0"/>
        <w:ind w:firstLine="709"/>
        <w:contextualSpacing/>
        <w:jc w:val="both"/>
        <w:rPr>
          <w:sz w:val="24"/>
          <w:szCs w:val="24"/>
        </w:rPr>
      </w:pPr>
      <w:r>
        <w:rPr>
          <w:sz w:val="24"/>
          <w:szCs w:val="24"/>
        </w:rPr>
        <w:t>За отчетные периоды, начиная с 01.01.2023, указанные сведения подлежат представлению в составе единой формы отчетности «Сведения для ведения индивидуального (персонифицированного) учета и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(ЕФС-1)».</w:t>
      </w:r>
    </w:p>
    <w:p>
      <w:pPr>
        <w:widowControl w:val="0"/>
        <w:autoSpaceDE w:val="0"/>
        <w:autoSpaceDN w:val="0"/>
        <w:adjustRightInd w:val="0"/>
        <w:ind w:firstLine="709"/>
        <w:contextualSpacing/>
        <w:jc w:val="both"/>
        <w:rPr>
          <w:sz w:val="24"/>
          <w:szCs w:val="24"/>
        </w:rPr>
      </w:pPr>
      <w:r>
        <w:rPr>
          <w:color w:val="C00000"/>
          <w:sz w:val="24"/>
          <w:szCs w:val="24"/>
        </w:rPr>
        <w:t>Форма ЕФС-1 и порядок ее заполнения утверждены Приказом СФР от 17.11.2025 № 1462</w:t>
      </w:r>
      <w:r>
        <w:rPr>
          <w:rStyle w:val="af"/>
          <w:sz w:val="24"/>
          <w:szCs w:val="24"/>
        </w:rPr>
        <w:footnoteReference w:id="3"/>
      </w:r>
      <w:r>
        <w:rPr>
          <w:sz w:val="24"/>
          <w:szCs w:val="24"/>
        </w:rPr>
        <w:t>.</w:t>
      </w:r>
    </w:p>
    <w:p>
      <w:pPr>
        <w:widowControl w:val="0"/>
        <w:autoSpaceDE w:val="0"/>
        <w:autoSpaceDN w:val="0"/>
        <w:adjustRightInd w:val="0"/>
        <w:ind w:firstLine="709"/>
        <w:contextualSpacing/>
        <w:jc w:val="both"/>
        <w:rPr>
          <w:sz w:val="24"/>
          <w:szCs w:val="24"/>
        </w:rPr>
      </w:pPr>
      <w:proofErr w:type="gramStart"/>
      <w:r>
        <w:rPr>
          <w:sz w:val="24"/>
          <w:szCs w:val="24"/>
        </w:rPr>
        <w:t>В соответствии с пунктом 9 статьи 11 Закона № 27-ФЗ страхователи, являющиеся государственными (муниципальными) учреждениями, для мониторинга системы оплаты труда работников бюджетной сферы обязаны ежемесячно (не позднее 25-го числа каждого месяца, следующего за истекшим) представлять в территориальные СФР информацию об условиях занятости и заработной плате работников.</w:t>
      </w:r>
      <w:proofErr w:type="gramEnd"/>
    </w:p>
    <w:p>
      <w:pPr>
        <w:widowControl w:val="0"/>
        <w:autoSpaceDE w:val="0"/>
        <w:autoSpaceDN w:val="0"/>
        <w:adjustRightInd w:val="0"/>
        <w:ind w:firstLine="709"/>
        <w:contextualSpacing/>
        <w:jc w:val="both"/>
        <w:rPr>
          <w:sz w:val="24"/>
          <w:szCs w:val="24"/>
        </w:rPr>
      </w:pPr>
      <w:r>
        <w:rPr>
          <w:sz w:val="24"/>
          <w:szCs w:val="24"/>
        </w:rPr>
        <w:t xml:space="preserve">Информация о заработной плате и условиях осуществления деятельности работников должна представляться государственными (муниципальными) учреждениями в составе формы ЕФС-1 с </w:t>
      </w:r>
      <w:r>
        <w:rPr>
          <w:color w:val="0070C0"/>
          <w:sz w:val="24"/>
          <w:szCs w:val="24"/>
        </w:rPr>
        <w:t>заполнением подраздела 1.3 подраздела 1 раздела 1.</w:t>
      </w:r>
      <w:r>
        <w:rPr>
          <w:color w:val="0070C0"/>
          <w:sz w:val="26"/>
          <w:szCs w:val="26"/>
        </w:rPr>
        <w:t xml:space="preserve"> </w:t>
      </w:r>
    </w:p>
    <w:p>
      <w:pPr>
        <w:widowControl w:val="0"/>
        <w:autoSpaceDE w:val="0"/>
        <w:autoSpaceDN w:val="0"/>
        <w:adjustRightInd w:val="0"/>
        <w:ind w:firstLine="709"/>
        <w:contextualSpacing/>
        <w:jc w:val="both"/>
        <w:rPr>
          <w:sz w:val="24"/>
          <w:szCs w:val="24"/>
        </w:rPr>
      </w:pPr>
      <w:r>
        <w:rPr>
          <w:sz w:val="24"/>
          <w:szCs w:val="24"/>
        </w:rPr>
        <w:t>Виды деятельности, при осуществлении которых страхователи, являющиеся государственными (муниципальными) учреждениями, представляют сведения об условиях занятости и заработной плате работников, определены приказом Министерства труда и социальной защиты Российской Федерации от 28.12.2023 № 900н</w:t>
      </w:r>
      <w:r>
        <w:rPr>
          <w:rStyle w:val="af"/>
          <w:sz w:val="24"/>
          <w:szCs w:val="24"/>
        </w:rPr>
        <w:footnoteReference w:id="4"/>
      </w:r>
      <w:r>
        <w:rPr>
          <w:sz w:val="24"/>
          <w:szCs w:val="24"/>
        </w:rPr>
        <w:t>.</w:t>
      </w:r>
    </w:p>
    <w:p>
      <w:pPr>
        <w:widowControl w:val="0"/>
        <w:autoSpaceDE w:val="0"/>
        <w:autoSpaceDN w:val="0"/>
        <w:adjustRightInd w:val="0"/>
        <w:ind w:firstLine="709"/>
        <w:contextualSpacing/>
        <w:jc w:val="both"/>
        <w:rPr>
          <w:color w:val="C00000"/>
          <w:sz w:val="24"/>
          <w:szCs w:val="24"/>
        </w:rPr>
      </w:pPr>
      <w:r>
        <w:rPr>
          <w:sz w:val="24"/>
          <w:szCs w:val="24"/>
        </w:rPr>
        <w:t xml:space="preserve">В соответствии с приказом Министерства труда и социальной защиты Российской Федерации от 28.12.2023 № 900н сведения подраздела 1.3 подраздела 1 раздела 1 формы ЕФС-1 представляются страхователями, являющимися государственными (муниципальными) учреждениями, </w:t>
      </w:r>
      <w:r>
        <w:rPr>
          <w:color w:val="C00000"/>
          <w:sz w:val="24"/>
          <w:szCs w:val="24"/>
        </w:rPr>
        <w:t>при выполнении двух условий:</w:t>
      </w:r>
    </w:p>
    <w:p>
      <w:pPr>
        <w:widowControl w:val="0"/>
        <w:autoSpaceDE w:val="0"/>
        <w:autoSpaceDN w:val="0"/>
        <w:adjustRightInd w:val="0"/>
        <w:ind w:firstLine="709"/>
        <w:contextualSpacing/>
        <w:jc w:val="both"/>
        <w:rPr>
          <w:sz w:val="24"/>
          <w:szCs w:val="24"/>
        </w:rPr>
      </w:pPr>
      <w:r>
        <w:rPr>
          <w:sz w:val="24"/>
          <w:szCs w:val="24"/>
        </w:rPr>
        <w:t>- основной вид экономической деятельности страхователя в соответствии с Общероссийским классификатором видов экономической деятельности отражен в вышеуказанном приказе;</w:t>
      </w:r>
    </w:p>
    <w:p>
      <w:pPr>
        <w:widowControl w:val="0"/>
        <w:autoSpaceDE w:val="0"/>
        <w:autoSpaceDN w:val="0"/>
        <w:adjustRightInd w:val="0"/>
        <w:ind w:firstLine="709"/>
        <w:contextualSpacing/>
        <w:jc w:val="both"/>
        <w:rPr>
          <w:sz w:val="24"/>
          <w:szCs w:val="24"/>
        </w:rPr>
      </w:pPr>
      <w:r>
        <w:rPr>
          <w:sz w:val="24"/>
          <w:szCs w:val="24"/>
        </w:rPr>
        <w:t>- страхователем представляются сведения по форме федерального статистического наблюдения в соответствии с Общероссийским классификатором управленческой документации (ОКУД) № 0606045, № 0606046, № 0606047, № 0606048 или № 0606049.</w:t>
      </w:r>
    </w:p>
    <w:p>
      <w:pPr>
        <w:widowControl w:val="0"/>
        <w:autoSpaceDE w:val="0"/>
        <w:autoSpaceDN w:val="0"/>
        <w:adjustRightInd w:val="0"/>
        <w:ind w:firstLine="709"/>
        <w:contextualSpacing/>
        <w:jc w:val="both"/>
        <w:rPr>
          <w:b/>
          <w:color w:val="FF0000"/>
          <w:sz w:val="24"/>
          <w:szCs w:val="24"/>
        </w:rPr>
      </w:pPr>
      <w:r>
        <w:rPr>
          <w:color w:val="000000" w:themeColor="text1"/>
          <w:sz w:val="24"/>
          <w:szCs w:val="24"/>
        </w:rPr>
        <w:t>Если государственное (муниципальное) учреждение</w:t>
      </w:r>
      <w:r>
        <w:rPr>
          <w:color w:val="FF0000"/>
          <w:sz w:val="24"/>
          <w:szCs w:val="24"/>
        </w:rPr>
        <w:t xml:space="preserve"> не соответствует одному из вышеназванных условий </w:t>
      </w:r>
      <w:r>
        <w:rPr>
          <w:color w:val="000000" w:themeColor="text1"/>
          <w:sz w:val="24"/>
          <w:szCs w:val="24"/>
        </w:rPr>
        <w:t>(например, не представляет сведения по форме ОКУД в Федеральную службу государственной статистики)</w:t>
      </w:r>
      <w:r>
        <w:rPr>
          <w:color w:val="FF0000"/>
          <w:sz w:val="24"/>
          <w:szCs w:val="24"/>
        </w:rPr>
        <w:t xml:space="preserve">, то сведения подраздела 1.3 подраздела 1 раздела 1 формы ЕФС-1 страхователями в СФР </w:t>
      </w:r>
      <w:r>
        <w:rPr>
          <w:b/>
          <w:color w:val="FF0000"/>
          <w:sz w:val="24"/>
          <w:szCs w:val="24"/>
        </w:rPr>
        <w:t>не представляются.</w:t>
      </w:r>
    </w:p>
    <w:p>
      <w:pPr>
        <w:widowControl w:val="0"/>
        <w:autoSpaceDE w:val="0"/>
        <w:autoSpaceDN w:val="0"/>
        <w:adjustRightInd w:val="0"/>
        <w:ind w:firstLine="709"/>
        <w:contextualSpacing/>
        <w:jc w:val="both"/>
        <w:rPr>
          <w:sz w:val="24"/>
          <w:szCs w:val="24"/>
        </w:rPr>
      </w:pPr>
      <w:r>
        <w:rPr>
          <w:sz w:val="24"/>
          <w:szCs w:val="24"/>
        </w:rPr>
        <w:t xml:space="preserve">Одновременно сообщаем, что в соответствии с пунктом 116 Порядка № 1462 </w:t>
      </w:r>
      <w:r>
        <w:rPr>
          <w:color w:val="0070C0"/>
          <w:sz w:val="24"/>
          <w:szCs w:val="24"/>
        </w:rPr>
        <w:t>в поле «КТО организации» подраздела 1.3 подраздела 1 раздела 1 формы ЕФС-1</w:t>
      </w:r>
      <w:r>
        <w:rPr>
          <w:color w:val="00B0F0"/>
          <w:sz w:val="24"/>
          <w:szCs w:val="24"/>
        </w:rPr>
        <w:t xml:space="preserve"> </w:t>
      </w:r>
      <w:r>
        <w:rPr>
          <w:sz w:val="24"/>
          <w:szCs w:val="24"/>
        </w:rPr>
        <w:t>указывается код типа отчитывающейся организации в соответствии с разделом «Коды типа организации, используемые при заполнении формы ЕФС-1 Классификатора (приложение к Порядку № 1462) .</w:t>
      </w:r>
    </w:p>
    <w:p>
      <w:pPr>
        <w:widowControl w:val="0"/>
        <w:autoSpaceDE w:val="0"/>
        <w:autoSpaceDN w:val="0"/>
        <w:adjustRightInd w:val="0"/>
        <w:ind w:firstLine="709"/>
        <w:contextualSpacing/>
        <w:jc w:val="both"/>
        <w:rPr>
          <w:sz w:val="24"/>
          <w:szCs w:val="24"/>
        </w:rPr>
      </w:pPr>
      <w:r>
        <w:rPr>
          <w:sz w:val="24"/>
          <w:szCs w:val="24"/>
        </w:rPr>
        <w:lastRenderedPageBreak/>
        <w:t>При этом обращаем Ваше внимание, что код типа организации  1.12 «Прочие» указывается в подразделе 1.3 подраздела 1 раздела 1 формы ЕФС-1 только государственными (муниципальными) учреждениями, осуществляющими деятельность в области культуры, искусства и кинематографии, являющимися респондентами формы № ЗП-культура.</w:t>
      </w:r>
    </w:p>
    <w:p>
      <w:pPr>
        <w:widowControl w:val="0"/>
        <w:autoSpaceDE w:val="0"/>
        <w:autoSpaceDN w:val="0"/>
        <w:adjustRightInd w:val="0"/>
        <w:ind w:firstLine="709"/>
        <w:contextualSpacing/>
        <w:jc w:val="both"/>
        <w:rPr>
          <w:sz w:val="24"/>
          <w:szCs w:val="24"/>
        </w:rPr>
      </w:pPr>
      <w:r>
        <w:rPr>
          <w:sz w:val="24"/>
          <w:szCs w:val="24"/>
        </w:rPr>
        <w:t>Учреждения, не относящиеся к учреждениям культуры, искусства и кинематографии, должны указывать КТО в соответствии со справочником «Коды типа организации, используемые при заполнении формы ЕФС-1».</w:t>
      </w:r>
    </w:p>
    <w:p>
      <w:pPr>
        <w:widowControl w:val="0"/>
        <w:autoSpaceDE w:val="0"/>
        <w:autoSpaceDN w:val="0"/>
        <w:adjustRightInd w:val="0"/>
        <w:ind w:firstLine="709"/>
        <w:contextualSpacing/>
        <w:jc w:val="both"/>
        <w:rPr>
          <w:sz w:val="24"/>
          <w:szCs w:val="24"/>
        </w:rPr>
      </w:pPr>
      <w:r>
        <w:rPr>
          <w:sz w:val="24"/>
          <w:szCs w:val="24"/>
        </w:rPr>
        <w:t>Так, учреждения в области науки должны указывать КТО 2.1 – 2.3, образовательные             учреждения – КТО 3.1.1 – 3.2.2, организации в области  здравоохранения – КТО 4.1.01 – 4.3.5, учреждения в области предоставления социальных услуг – КТО 5.1.01 – 5.5.</w:t>
      </w:r>
    </w:p>
    <w:p>
      <w:pPr>
        <w:widowControl w:val="0"/>
        <w:autoSpaceDE w:val="0"/>
        <w:autoSpaceDN w:val="0"/>
        <w:adjustRightInd w:val="0"/>
        <w:ind w:firstLine="709"/>
        <w:contextualSpacing/>
        <w:jc w:val="both"/>
        <w:rPr>
          <w:sz w:val="24"/>
          <w:szCs w:val="24"/>
        </w:rPr>
      </w:pPr>
      <w:r>
        <w:rPr>
          <w:sz w:val="24"/>
          <w:szCs w:val="24"/>
        </w:rPr>
        <w:t>Дополнительно сообщаем, что в соответствии с пунктами 113, 114 и 115 Порядка № 1462 в поле «Тип сведений» подраздела 1.3 подраздела 1 раздела 1 формы ЕФС-1 знаком «X» отмечается тип представляемой формы: исходная, корректирующая или отменяющая.</w:t>
      </w:r>
    </w:p>
    <w:p>
      <w:pPr>
        <w:widowControl w:val="0"/>
        <w:autoSpaceDE w:val="0"/>
        <w:autoSpaceDN w:val="0"/>
        <w:adjustRightInd w:val="0"/>
        <w:ind w:firstLine="709"/>
        <w:contextualSpacing/>
        <w:jc w:val="both"/>
        <w:rPr>
          <w:sz w:val="24"/>
          <w:szCs w:val="24"/>
        </w:rPr>
      </w:pPr>
      <w:r>
        <w:rPr>
          <w:sz w:val="24"/>
          <w:szCs w:val="24"/>
        </w:rPr>
        <w:t>В одной форме ЕФС-1 не могут быть представлены данные с разным типом сведений (например, «Исходная» и «Корректирующая») за один и тот же отчетный период на одно и то же застрахованное лицо.</w:t>
      </w:r>
    </w:p>
    <w:p>
      <w:pPr>
        <w:widowControl w:val="0"/>
        <w:autoSpaceDE w:val="0"/>
        <w:autoSpaceDN w:val="0"/>
        <w:adjustRightInd w:val="0"/>
        <w:ind w:firstLine="709"/>
        <w:contextualSpacing/>
        <w:jc w:val="both"/>
        <w:rPr>
          <w:sz w:val="24"/>
          <w:szCs w:val="24"/>
        </w:rPr>
      </w:pPr>
      <w:r>
        <w:rPr>
          <w:sz w:val="24"/>
          <w:szCs w:val="24"/>
        </w:rPr>
        <w:t>При представлении подраздела 1.3 подраздела 1 раздела 1 формы ЕФС-1 с типом сведений «Отменяющая» заполняется титульный лист, подраздел 1 раздела 1 (сведения о застрахованном лице), поле «Корректируемый (отменяемый) период» и реквизиты учреждения (КТО организации, идентификационный номер ТОСП</w:t>
      </w:r>
      <w:r>
        <w:rPr>
          <w:rStyle w:val="af"/>
          <w:sz w:val="24"/>
          <w:szCs w:val="24"/>
        </w:rPr>
        <w:footnoteReference w:id="5"/>
      </w:r>
      <w:r>
        <w:rPr>
          <w:sz w:val="24"/>
          <w:szCs w:val="24"/>
        </w:rPr>
        <w:t xml:space="preserve"> (если ТОСП), OID медицинской организации</w:t>
      </w:r>
      <w:r>
        <w:rPr>
          <w:rStyle w:val="af"/>
          <w:sz w:val="24"/>
          <w:szCs w:val="24"/>
        </w:rPr>
        <w:footnoteReference w:id="6"/>
      </w:r>
      <w:r>
        <w:rPr>
          <w:sz w:val="24"/>
          <w:szCs w:val="24"/>
        </w:rPr>
        <w:t>).</w:t>
      </w:r>
    </w:p>
    <w:p>
      <w:pPr>
        <w:widowControl w:val="0"/>
        <w:autoSpaceDE w:val="0"/>
        <w:autoSpaceDN w:val="0"/>
        <w:adjustRightInd w:val="0"/>
        <w:ind w:firstLine="709"/>
        <w:contextualSpacing/>
        <w:jc w:val="both"/>
        <w:rPr>
          <w:sz w:val="24"/>
          <w:szCs w:val="24"/>
        </w:rPr>
      </w:pPr>
      <w:r>
        <w:rPr>
          <w:sz w:val="24"/>
          <w:szCs w:val="24"/>
        </w:rPr>
        <w:t>В поле «Корректируемый (отменяемый) период» указывается месяц и год, за который корректируются или отменяются сведения.</w:t>
      </w:r>
    </w:p>
    <w:p>
      <w:pPr>
        <w:widowControl w:val="0"/>
        <w:autoSpaceDE w:val="0"/>
        <w:autoSpaceDN w:val="0"/>
        <w:adjustRightInd w:val="0"/>
        <w:ind w:firstLine="709"/>
        <w:contextualSpacing/>
        <w:jc w:val="both"/>
        <w:rPr>
          <w:color w:val="0070C0"/>
          <w:sz w:val="24"/>
          <w:szCs w:val="24"/>
        </w:rPr>
      </w:pPr>
      <w:proofErr w:type="gramStart"/>
      <w:r>
        <w:rPr>
          <w:sz w:val="24"/>
          <w:szCs w:val="24"/>
        </w:rPr>
        <w:t xml:space="preserve">Одновременно сообщаем, что </w:t>
      </w:r>
      <w:r>
        <w:rPr>
          <w:b/>
          <w:color w:val="0070C0"/>
          <w:sz w:val="24"/>
          <w:szCs w:val="24"/>
        </w:rPr>
        <w:t xml:space="preserve">в соответствии с Приказом СФР от 15.04.2026 № 389 </w:t>
      </w:r>
      <w:r>
        <w:rPr>
          <w:sz w:val="24"/>
          <w:szCs w:val="24"/>
        </w:rPr>
        <w:t xml:space="preserve">«О внесении изменений в некоторые нормативные правовые акты Фонда пенсионного и социального страхования Российской Федерации по вопросам ведения индивидуального (персонифицированного) учета в системах обязательного пенсионного страхования и обязательного социального страхования», вступившего в силу с 30.05.2026, </w:t>
      </w:r>
      <w:r>
        <w:rPr>
          <w:b/>
          <w:color w:val="C00000"/>
          <w:sz w:val="24"/>
          <w:szCs w:val="24"/>
        </w:rPr>
        <w:t>изменился справочник кодов должностей (профессий)</w:t>
      </w:r>
      <w:r>
        <w:rPr>
          <w:sz w:val="24"/>
          <w:szCs w:val="24"/>
        </w:rPr>
        <w:t>, который используют для заполнения графы 6 «Код наименования должности</w:t>
      </w:r>
      <w:proofErr w:type="gramEnd"/>
      <w:r>
        <w:rPr>
          <w:sz w:val="24"/>
          <w:szCs w:val="24"/>
        </w:rPr>
        <w:t xml:space="preserve"> (профессии)» подраздела 1.3 подраздела 1 раздела 1 формы ЕФС-1 (в частности, обновили структуру кода: теперь он </w:t>
      </w:r>
      <w:r>
        <w:rPr>
          <w:color w:val="0070C0"/>
          <w:sz w:val="24"/>
          <w:szCs w:val="24"/>
        </w:rPr>
        <w:t>состоит из 12 цифр, раньше использовали 5-значную буквенно-цифровую систему).</w:t>
      </w:r>
    </w:p>
    <w:p>
      <w:pPr>
        <w:widowControl w:val="0"/>
        <w:autoSpaceDE w:val="0"/>
        <w:autoSpaceDN w:val="0"/>
        <w:adjustRightInd w:val="0"/>
        <w:ind w:firstLine="709"/>
        <w:contextualSpacing/>
        <w:jc w:val="both"/>
        <w:rPr>
          <w:sz w:val="24"/>
          <w:szCs w:val="24"/>
        </w:rPr>
      </w:pPr>
      <w:r>
        <w:rPr>
          <w:sz w:val="24"/>
          <w:szCs w:val="24"/>
        </w:rPr>
        <w:t>В таблице 17 «Общие типы данных информационного обмена. Простые типы» формата сведений для формы ЕФС-1</w:t>
      </w:r>
      <w:r>
        <w:rPr>
          <w:rStyle w:val="af"/>
          <w:sz w:val="24"/>
          <w:szCs w:val="24"/>
        </w:rPr>
        <w:footnoteReference w:id="7"/>
      </w:r>
      <w:r>
        <w:rPr>
          <w:sz w:val="24"/>
          <w:szCs w:val="24"/>
        </w:rPr>
        <w:t xml:space="preserve"> в строке «</w:t>
      </w:r>
      <w:proofErr w:type="spellStart"/>
      <w:r>
        <w:rPr>
          <w:sz w:val="24"/>
          <w:szCs w:val="24"/>
        </w:rPr>
        <w:t>ТипКодДолжности</w:t>
      </w:r>
      <w:proofErr w:type="spellEnd"/>
      <w:r>
        <w:rPr>
          <w:sz w:val="24"/>
          <w:szCs w:val="24"/>
        </w:rPr>
        <w:t>» графа «Ограничение на тип» изложена в следующей редакции:</w:t>
      </w:r>
    </w:p>
    <w:p>
      <w:pPr>
        <w:widowControl w:val="0"/>
        <w:autoSpaceDE w:val="0"/>
        <w:autoSpaceDN w:val="0"/>
        <w:adjustRightInd w:val="0"/>
        <w:ind w:firstLine="709"/>
        <w:contextualSpacing/>
        <w:jc w:val="both"/>
        <w:rPr>
          <w:color w:val="0070C0"/>
          <w:sz w:val="24"/>
          <w:szCs w:val="24"/>
        </w:rPr>
      </w:pPr>
      <w:r>
        <w:rPr>
          <w:color w:val="0070C0"/>
          <w:sz w:val="24"/>
          <w:szCs w:val="24"/>
        </w:rPr>
        <w:t>«Шаблон: \d{6}-\d{4}-\d{2}».</w:t>
      </w:r>
    </w:p>
    <w:p>
      <w:pPr>
        <w:widowControl w:val="0"/>
        <w:autoSpaceDE w:val="0"/>
        <w:autoSpaceDN w:val="0"/>
        <w:adjustRightInd w:val="0"/>
        <w:ind w:firstLine="709"/>
        <w:contextualSpacing/>
        <w:jc w:val="both"/>
        <w:rPr>
          <w:color w:val="0070C0"/>
          <w:sz w:val="28"/>
          <w:szCs w:val="28"/>
        </w:rPr>
      </w:pPr>
    </w:p>
    <w:p>
      <w:pPr>
        <w:widowControl w:val="0"/>
        <w:autoSpaceDE w:val="0"/>
        <w:autoSpaceDN w:val="0"/>
        <w:adjustRightInd w:val="0"/>
        <w:ind w:firstLine="709"/>
        <w:contextualSpacing/>
        <w:jc w:val="both"/>
        <w:rPr>
          <w:sz w:val="28"/>
          <w:szCs w:val="28"/>
        </w:rPr>
      </w:pPr>
    </w:p>
    <w:p>
      <w:pPr>
        <w:widowControl w:val="0"/>
        <w:autoSpaceDE w:val="0"/>
        <w:autoSpaceDN w:val="0"/>
        <w:adjustRightInd w:val="0"/>
        <w:ind w:firstLine="709"/>
        <w:contextualSpacing/>
        <w:jc w:val="both"/>
        <w:rPr>
          <w:sz w:val="28"/>
          <w:szCs w:val="28"/>
        </w:rPr>
      </w:pPr>
    </w:p>
    <w:p>
      <w:pPr>
        <w:widowControl w:val="0"/>
        <w:autoSpaceDE w:val="0"/>
        <w:autoSpaceDN w:val="0"/>
        <w:adjustRightInd w:val="0"/>
        <w:ind w:firstLine="709"/>
        <w:contextualSpacing/>
        <w:jc w:val="both"/>
        <w:rPr>
          <w:sz w:val="28"/>
          <w:szCs w:val="28"/>
        </w:rPr>
      </w:pPr>
    </w:p>
    <w:p>
      <w:pPr>
        <w:widowControl w:val="0"/>
        <w:autoSpaceDE w:val="0"/>
        <w:autoSpaceDN w:val="0"/>
        <w:adjustRightInd w:val="0"/>
        <w:ind w:firstLine="709"/>
        <w:contextualSpacing/>
        <w:jc w:val="both"/>
        <w:rPr>
          <w:sz w:val="28"/>
          <w:szCs w:val="28"/>
        </w:rPr>
      </w:pPr>
    </w:p>
    <w:p>
      <w:pPr>
        <w:widowControl w:val="0"/>
        <w:autoSpaceDE w:val="0"/>
        <w:autoSpaceDN w:val="0"/>
        <w:adjustRightInd w:val="0"/>
        <w:contextualSpacing/>
        <w:jc w:val="both"/>
        <w:rPr>
          <w:sz w:val="28"/>
          <w:szCs w:val="28"/>
        </w:rPr>
      </w:pPr>
    </w:p>
    <w:sectPr>
      <w:pgSz w:w="11906" w:h="16838"/>
      <w:pgMar w:top="567" w:right="567" w:bottom="567" w:left="567"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A00002EF" w:usb1="4000207B"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 w:id="1">
    <w:p>
      <w:pPr>
        <w:pStyle w:val="ad"/>
      </w:pPr>
      <w:r>
        <w:rPr>
          <w:rStyle w:val="af"/>
        </w:rPr>
        <w:footnoteRef/>
      </w:r>
      <w:r>
        <w:t xml:space="preserve"> Далее – форма ЕФС-1</w:t>
      </w:r>
    </w:p>
  </w:footnote>
  <w:footnote w:id="2">
    <w:p>
      <w:pPr>
        <w:pStyle w:val="ad"/>
      </w:pPr>
      <w:r>
        <w:rPr>
          <w:rStyle w:val="af"/>
        </w:rPr>
        <w:footnoteRef/>
      </w:r>
      <w:r>
        <w:t xml:space="preserve"> Далее – Закон № 27-ФЗ</w:t>
      </w:r>
    </w:p>
  </w:footnote>
  <w:footnote w:id="3">
    <w:p>
      <w:pPr>
        <w:pStyle w:val="ad"/>
      </w:pPr>
      <w:r>
        <w:rPr>
          <w:rStyle w:val="af"/>
        </w:rPr>
        <w:footnoteRef/>
      </w:r>
      <w:r>
        <w:t xml:space="preserve"> Далее – Порядок № 1462</w:t>
      </w:r>
    </w:p>
  </w:footnote>
  <w:footnote w:id="4">
    <w:p>
      <w:pPr>
        <w:pStyle w:val="ad"/>
        <w:jc w:val="both"/>
      </w:pPr>
      <w:r>
        <w:rPr>
          <w:rStyle w:val="af"/>
        </w:rPr>
        <w:footnoteRef/>
      </w:r>
      <w:r>
        <w:t xml:space="preserve"> </w:t>
      </w:r>
      <w:proofErr w:type="gramStart"/>
      <w:r>
        <w:t>Приказ Минтруда России от 28.12.2023 № 900н «Об определении видов деятельности, при осуществлении которых страхователи, являющиеся государственными (муниципальными) учреждениями, представляют в составе единой формы сведений в органы Фонда пенсионного и социального страхования Российской Федерации сведения, предусмотренные пунктом 9 статьи 11 Федерального закона от 1 апреля 1996 года № 27-ФЗ «Об индивидуальном (персонифицированном) учете в системах обязательного пенсионного страхования и обязательного социального страхования»</w:t>
      </w:r>
      <w:proofErr w:type="gramEnd"/>
    </w:p>
  </w:footnote>
  <w:footnote w:id="5">
    <w:p>
      <w:pPr>
        <w:pStyle w:val="ad"/>
      </w:pPr>
      <w:r>
        <w:rPr>
          <w:rStyle w:val="af"/>
        </w:rPr>
        <w:footnoteRef/>
      </w:r>
      <w:r>
        <w:t xml:space="preserve"> Далее - территориально обособленное структурное подразделение</w:t>
      </w:r>
    </w:p>
  </w:footnote>
  <w:footnote w:id="6">
    <w:p>
      <w:pPr>
        <w:pStyle w:val="ad"/>
      </w:pPr>
      <w:r>
        <w:rPr>
          <w:rStyle w:val="af"/>
        </w:rPr>
        <w:footnoteRef/>
      </w:r>
      <w:r>
        <w:t xml:space="preserve"> Уникальный идентификатор медицинской организации</w:t>
      </w:r>
    </w:p>
  </w:footnote>
  <w:footnote w:id="7">
    <w:p>
      <w:pPr>
        <w:pStyle w:val="ad"/>
        <w:jc w:val="both"/>
      </w:pPr>
      <w:r>
        <w:rPr>
          <w:rStyle w:val="af"/>
        </w:rPr>
        <w:footnoteRef/>
      </w:r>
      <w:r>
        <w:t xml:space="preserve"> Приказ СФР от 17.11.2025 N 1463 «Об определении форматов сведений для единой формы «Сведения для ведения индивидуального (персонифицированного) учета и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(ЕФС-1)»</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7EB2FB62"/>
    <w:lvl w:ilvl="0">
      <w:numFmt w:val="decimal"/>
      <w:lvlText w:val="*"/>
      <w:lvlJc w:val="left"/>
    </w:lvl>
  </w:abstractNum>
  <w:abstractNum w:abstractNumId="1">
    <w:nsid w:val="6A9359A3"/>
    <w:multiLevelType w:val="singleLevel"/>
    <w:tmpl w:val="83582512"/>
    <w:lvl w:ilvl="0">
      <w:start w:val="1"/>
      <w:numFmt w:val="decimal"/>
      <w:lvlText w:val="%1."/>
      <w:legacy w:legacy="1" w:legacySpace="0" w:legacyIndent="221"/>
      <w:lvlJc w:val="left"/>
      <w:rPr>
        <w:rFonts w:ascii="Times New Roman" w:hAnsi="Times New Roman" w:cs="Times New Roman" w:hint="default"/>
      </w:rPr>
    </w:lvl>
  </w:abstractNum>
  <w:num w:numId="1">
    <w:abstractNumId w:val="0"/>
    <w:lvlOverride w:ilvl="0">
      <w:lvl w:ilvl="0">
        <w:start w:val="65535"/>
        <w:numFmt w:val="bullet"/>
        <w:lvlText w:val="•"/>
        <w:legacy w:legacy="1" w:legacySpace="0" w:legacyIndent="346"/>
        <w:lvlJc w:val="left"/>
        <w:rPr>
          <w:rFonts w:ascii="Times New Roman" w:hAnsi="Times New Roman" w:hint="default"/>
        </w:rPr>
      </w:lvl>
    </w:lvlOverride>
  </w:num>
  <w:num w:numId="2">
    <w:abstractNumId w:val="1"/>
  </w:num>
  <w:num w:numId="3">
    <w:abstractNumId w:val="0"/>
    <w:lvlOverride w:ilvl="0">
      <w:lvl w:ilvl="0">
        <w:start w:val="65535"/>
        <w:numFmt w:val="bullet"/>
        <w:lvlText w:val="•"/>
        <w:legacy w:legacy="1" w:legacySpace="0" w:legacyIndent="355"/>
        <w:lvlJc w:val="left"/>
        <w:rPr>
          <w:rFonts w:ascii="Arial" w:hAnsi="Arial" w:cs="Arial"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4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Обычный1"/>
    <w:pPr>
      <w:snapToGrid w:val="0"/>
    </w:pPr>
  </w:style>
  <w:style w:type="paragraph" w:styleId="a3">
    <w:name w:val="header"/>
    <w:basedOn w:val="a"/>
    <w:link w:val="a4"/>
    <w:uiPriority w:val="99"/>
    <w:unhideWhenUsed/>
    <w:pPr>
      <w:tabs>
        <w:tab w:val="center" w:pos="4677"/>
        <w:tab w:val="right" w:pos="9355"/>
      </w:tabs>
    </w:pPr>
  </w:style>
  <w:style w:type="character" w:customStyle="1" w:styleId="14">
    <w:name w:val="Стиль 14 пт"/>
    <w:basedOn w:val="a0"/>
    <w:rPr>
      <w:rFonts w:ascii="Times New Roman" w:hAnsi="Times New Roman"/>
      <w:sz w:val="28"/>
    </w:rPr>
  </w:style>
  <w:style w:type="character" w:styleId="a5">
    <w:name w:val="Hyperlink"/>
    <w:rPr>
      <w:color w:val="0000FF"/>
      <w:u w:val="single"/>
    </w:rPr>
  </w:style>
  <w:style w:type="paragraph" w:styleId="a6">
    <w:name w:val="Balloon Text"/>
    <w:basedOn w:val="a"/>
    <w:semiHidden/>
    <w:rPr>
      <w:rFonts w:ascii="Tahoma" w:hAnsi="Tahoma" w:cs="Tahoma"/>
      <w:sz w:val="16"/>
      <w:szCs w:val="16"/>
    </w:rPr>
  </w:style>
  <w:style w:type="character" w:customStyle="1" w:styleId="a4">
    <w:name w:val="Верхний колонтитул Знак"/>
    <w:basedOn w:val="a0"/>
    <w:link w:val="a3"/>
    <w:uiPriority w:val="99"/>
  </w:style>
  <w:style w:type="table" w:styleId="a7">
    <w:name w:val="Table Grid"/>
    <w:basedOn w:val="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basedOn w:val="a"/>
    <w:pPr>
      <w:spacing w:after="160" w:line="240" w:lineRule="exact"/>
    </w:pPr>
    <w:rPr>
      <w:rFonts w:ascii="Verdana" w:hAnsi="Verdana" w:cs="Verdana"/>
      <w:lang w:val="en-US" w:eastAsia="en-US"/>
    </w:rPr>
  </w:style>
  <w:style w:type="character" w:customStyle="1" w:styleId="FontStyle11">
    <w:name w:val="Font Style11"/>
    <w:uiPriority w:val="99"/>
    <w:rPr>
      <w:rFonts w:ascii="Times New Roman" w:hAnsi="Times New Roman" w:cs="Times New Roman"/>
      <w:sz w:val="26"/>
      <w:szCs w:val="26"/>
    </w:rPr>
  </w:style>
  <w:style w:type="paragraph" w:styleId="a9">
    <w:name w:val="footer"/>
    <w:basedOn w:val="a"/>
    <w:link w:val="aa"/>
    <w:uiPriority w:val="99"/>
    <w:unhideWhenUsed/>
    <w:pPr>
      <w:tabs>
        <w:tab w:val="center" w:pos="4677"/>
        <w:tab w:val="right" w:pos="9355"/>
      </w:tabs>
    </w:pPr>
  </w:style>
  <w:style w:type="character" w:customStyle="1" w:styleId="aa">
    <w:name w:val="Нижний колонтитул Знак"/>
    <w:basedOn w:val="a0"/>
    <w:link w:val="a9"/>
    <w:uiPriority w:val="99"/>
  </w:style>
  <w:style w:type="paragraph" w:styleId="ab">
    <w:name w:val="Normal (Web)"/>
    <w:basedOn w:val="a"/>
    <w:uiPriority w:val="99"/>
    <w:semiHidden/>
    <w:unhideWhenUsed/>
    <w:pPr>
      <w:spacing w:before="100" w:beforeAutospacing="1" w:after="100" w:afterAutospacing="1"/>
    </w:pPr>
    <w:rPr>
      <w:sz w:val="24"/>
      <w:szCs w:val="24"/>
    </w:rPr>
  </w:style>
  <w:style w:type="paragraph" w:styleId="ac">
    <w:name w:val="List Paragraph"/>
    <w:basedOn w:val="a"/>
    <w:uiPriority w:val="34"/>
    <w:qFormat/>
    <w:pPr>
      <w:suppressAutoHyphens/>
      <w:ind w:left="720"/>
      <w:contextualSpacing/>
    </w:pPr>
    <w:rPr>
      <w:lang w:eastAsia="ar-SA"/>
    </w:rPr>
  </w:style>
  <w:style w:type="paragraph" w:styleId="ad">
    <w:name w:val="footnote text"/>
    <w:aliases w:val="Footnote Text Char Знак,Footnote Text Char Знак Знак,Footnote Text Char Знак Знак Знак Знак,Footnote Text Char Знак Знак Знак Знак Char,Footnote Text Char Знак Знак Знак Знак Char Char,Çíàê Çíàê Çíàê Çíàê,Знак5,Текст сноски45"/>
    <w:basedOn w:val="a"/>
    <w:link w:val="ae"/>
    <w:uiPriority w:val="99"/>
    <w:qFormat/>
  </w:style>
  <w:style w:type="character" w:customStyle="1" w:styleId="ae">
    <w:name w:val="Текст сноски Знак"/>
    <w:aliases w:val="Footnote Text Char Знак Знак1,Footnote Text Char Знак Знак Знак,Footnote Text Char Знак Знак Знак Знак Знак,Footnote Text Char Знак Знак Знак Знак Char Знак,Footnote Text Char Знак Знак Знак Знак Char Char Знак,Çíàê Çíàê Çíàê Çíàê Знак"/>
    <w:basedOn w:val="a0"/>
    <w:link w:val="ad"/>
    <w:uiPriority w:val="99"/>
    <w:qFormat/>
  </w:style>
  <w:style w:type="character" w:styleId="af">
    <w:name w:val="footnote reference"/>
    <w:aliases w:val="Знак сноски-FN,SUPERS,Знак сноски 1,Ciae niinee-FN,16 Point,Ciae niinee 1,Footnote Reference Number,Referencia nota al pie,Superscript 6 Point,Used by Word for Help footnote symbols,fr,Ссылка на сноску 45,анкета сноска,Footnote Reference_LVL"/>
    <w:uiPriority w:val="99"/>
    <w:qFormat/>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Обычный1"/>
    <w:pPr>
      <w:snapToGrid w:val="0"/>
    </w:pPr>
  </w:style>
  <w:style w:type="paragraph" w:styleId="a3">
    <w:name w:val="header"/>
    <w:basedOn w:val="a"/>
    <w:link w:val="a4"/>
    <w:uiPriority w:val="99"/>
    <w:unhideWhenUsed/>
    <w:pPr>
      <w:tabs>
        <w:tab w:val="center" w:pos="4677"/>
        <w:tab w:val="right" w:pos="9355"/>
      </w:tabs>
    </w:pPr>
  </w:style>
  <w:style w:type="character" w:customStyle="1" w:styleId="14">
    <w:name w:val="Стиль 14 пт"/>
    <w:basedOn w:val="a0"/>
    <w:rPr>
      <w:rFonts w:ascii="Times New Roman" w:hAnsi="Times New Roman"/>
      <w:sz w:val="28"/>
    </w:rPr>
  </w:style>
  <w:style w:type="character" w:styleId="a5">
    <w:name w:val="Hyperlink"/>
    <w:rPr>
      <w:color w:val="0000FF"/>
      <w:u w:val="single"/>
    </w:rPr>
  </w:style>
  <w:style w:type="paragraph" w:styleId="a6">
    <w:name w:val="Balloon Text"/>
    <w:basedOn w:val="a"/>
    <w:semiHidden/>
    <w:rPr>
      <w:rFonts w:ascii="Tahoma" w:hAnsi="Tahoma" w:cs="Tahoma"/>
      <w:sz w:val="16"/>
      <w:szCs w:val="16"/>
    </w:rPr>
  </w:style>
  <w:style w:type="character" w:customStyle="1" w:styleId="a4">
    <w:name w:val="Верхний колонтитул Знак"/>
    <w:basedOn w:val="a0"/>
    <w:link w:val="a3"/>
    <w:uiPriority w:val="99"/>
  </w:style>
  <w:style w:type="table" w:styleId="a7">
    <w:name w:val="Table Grid"/>
    <w:basedOn w:val="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basedOn w:val="a"/>
    <w:pPr>
      <w:spacing w:after="160" w:line="240" w:lineRule="exact"/>
    </w:pPr>
    <w:rPr>
      <w:rFonts w:ascii="Verdana" w:hAnsi="Verdana" w:cs="Verdana"/>
      <w:lang w:val="en-US" w:eastAsia="en-US"/>
    </w:rPr>
  </w:style>
  <w:style w:type="character" w:customStyle="1" w:styleId="FontStyle11">
    <w:name w:val="Font Style11"/>
    <w:uiPriority w:val="99"/>
    <w:rPr>
      <w:rFonts w:ascii="Times New Roman" w:hAnsi="Times New Roman" w:cs="Times New Roman"/>
      <w:sz w:val="26"/>
      <w:szCs w:val="26"/>
    </w:rPr>
  </w:style>
  <w:style w:type="paragraph" w:styleId="a9">
    <w:name w:val="footer"/>
    <w:basedOn w:val="a"/>
    <w:link w:val="aa"/>
    <w:uiPriority w:val="99"/>
    <w:unhideWhenUsed/>
    <w:pPr>
      <w:tabs>
        <w:tab w:val="center" w:pos="4677"/>
        <w:tab w:val="right" w:pos="9355"/>
      </w:tabs>
    </w:pPr>
  </w:style>
  <w:style w:type="character" w:customStyle="1" w:styleId="aa">
    <w:name w:val="Нижний колонтитул Знак"/>
    <w:basedOn w:val="a0"/>
    <w:link w:val="a9"/>
    <w:uiPriority w:val="99"/>
  </w:style>
  <w:style w:type="paragraph" w:styleId="ab">
    <w:name w:val="Normal (Web)"/>
    <w:basedOn w:val="a"/>
    <w:uiPriority w:val="99"/>
    <w:semiHidden/>
    <w:unhideWhenUsed/>
    <w:pPr>
      <w:spacing w:before="100" w:beforeAutospacing="1" w:after="100" w:afterAutospacing="1"/>
    </w:pPr>
    <w:rPr>
      <w:sz w:val="24"/>
      <w:szCs w:val="24"/>
    </w:rPr>
  </w:style>
  <w:style w:type="paragraph" w:styleId="ac">
    <w:name w:val="List Paragraph"/>
    <w:basedOn w:val="a"/>
    <w:uiPriority w:val="34"/>
    <w:qFormat/>
    <w:pPr>
      <w:suppressAutoHyphens/>
      <w:ind w:left="720"/>
      <w:contextualSpacing/>
    </w:pPr>
    <w:rPr>
      <w:lang w:eastAsia="ar-SA"/>
    </w:rPr>
  </w:style>
  <w:style w:type="paragraph" w:styleId="ad">
    <w:name w:val="footnote text"/>
    <w:aliases w:val="Footnote Text Char Знак,Footnote Text Char Знак Знак,Footnote Text Char Знак Знак Знак Знак,Footnote Text Char Знак Знак Знак Знак Char,Footnote Text Char Знак Знак Знак Знак Char Char,Çíàê Çíàê Çíàê Çíàê,Знак5,Текст сноски45"/>
    <w:basedOn w:val="a"/>
    <w:link w:val="ae"/>
    <w:uiPriority w:val="99"/>
    <w:qFormat/>
  </w:style>
  <w:style w:type="character" w:customStyle="1" w:styleId="ae">
    <w:name w:val="Текст сноски Знак"/>
    <w:aliases w:val="Footnote Text Char Знак Знак1,Footnote Text Char Знак Знак Знак,Footnote Text Char Знак Знак Знак Знак Знак,Footnote Text Char Знак Знак Знак Знак Char Знак,Footnote Text Char Знак Знак Знак Знак Char Char Знак,Çíàê Çíàê Çíàê Çíàê Знак"/>
    <w:basedOn w:val="a0"/>
    <w:link w:val="ad"/>
    <w:uiPriority w:val="99"/>
    <w:qFormat/>
  </w:style>
  <w:style w:type="character" w:styleId="af">
    <w:name w:val="footnote reference"/>
    <w:aliases w:val="Знак сноски-FN,SUPERS,Знак сноски 1,Ciae niinee-FN,16 Point,Ciae niinee 1,Footnote Reference Number,Referencia nota al pie,Superscript 6 Point,Used by Word for Help footnote symbols,fr,Ссылка на сноску 45,анкета сноска,Footnote Reference_LVL"/>
    <w:uiPriority w:val="99"/>
    <w:qFormat/>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980154">
      <w:bodyDiv w:val="1"/>
      <w:marLeft w:val="0"/>
      <w:marRight w:val="0"/>
      <w:marTop w:val="0"/>
      <w:marBottom w:val="0"/>
      <w:divBdr>
        <w:top w:val="none" w:sz="0" w:space="0" w:color="auto"/>
        <w:left w:val="none" w:sz="0" w:space="0" w:color="auto"/>
        <w:bottom w:val="none" w:sz="0" w:space="0" w:color="auto"/>
        <w:right w:val="none" w:sz="0" w:space="0" w:color="auto"/>
      </w:divBdr>
    </w:div>
    <w:div w:id="204605156">
      <w:bodyDiv w:val="1"/>
      <w:marLeft w:val="0"/>
      <w:marRight w:val="0"/>
      <w:marTop w:val="0"/>
      <w:marBottom w:val="0"/>
      <w:divBdr>
        <w:top w:val="none" w:sz="0" w:space="0" w:color="auto"/>
        <w:left w:val="none" w:sz="0" w:space="0" w:color="auto"/>
        <w:bottom w:val="none" w:sz="0" w:space="0" w:color="auto"/>
        <w:right w:val="none" w:sz="0" w:space="0" w:color="auto"/>
      </w:divBdr>
    </w:div>
    <w:div w:id="732193894">
      <w:bodyDiv w:val="1"/>
      <w:marLeft w:val="0"/>
      <w:marRight w:val="0"/>
      <w:marTop w:val="0"/>
      <w:marBottom w:val="0"/>
      <w:divBdr>
        <w:top w:val="none" w:sz="0" w:space="0" w:color="auto"/>
        <w:left w:val="none" w:sz="0" w:space="0" w:color="auto"/>
        <w:bottom w:val="none" w:sz="0" w:space="0" w:color="auto"/>
        <w:right w:val="none" w:sz="0" w:space="0" w:color="auto"/>
      </w:divBdr>
      <w:divsChild>
        <w:div w:id="852887553">
          <w:marLeft w:val="0"/>
          <w:marRight w:val="0"/>
          <w:marTop w:val="0"/>
          <w:marBottom w:val="0"/>
          <w:divBdr>
            <w:top w:val="none" w:sz="0" w:space="0" w:color="auto"/>
            <w:left w:val="none" w:sz="0" w:space="0" w:color="auto"/>
            <w:bottom w:val="none" w:sz="0" w:space="0" w:color="auto"/>
            <w:right w:val="none" w:sz="0" w:space="0" w:color="auto"/>
          </w:divBdr>
          <w:divsChild>
            <w:div w:id="630063485">
              <w:marLeft w:val="0"/>
              <w:marRight w:val="0"/>
              <w:marTop w:val="0"/>
              <w:marBottom w:val="0"/>
              <w:divBdr>
                <w:top w:val="none" w:sz="0" w:space="0" w:color="auto"/>
                <w:left w:val="none" w:sz="0" w:space="0" w:color="auto"/>
                <w:bottom w:val="none" w:sz="0" w:space="0" w:color="auto"/>
                <w:right w:val="none" w:sz="0" w:space="0" w:color="auto"/>
              </w:divBdr>
              <w:divsChild>
                <w:div w:id="116681359">
                  <w:marLeft w:val="0"/>
                  <w:marRight w:val="0"/>
                  <w:marTop w:val="0"/>
                  <w:marBottom w:val="0"/>
                  <w:divBdr>
                    <w:top w:val="none" w:sz="0" w:space="0" w:color="auto"/>
                    <w:left w:val="none" w:sz="0" w:space="0" w:color="auto"/>
                    <w:bottom w:val="none" w:sz="0" w:space="0" w:color="auto"/>
                    <w:right w:val="none" w:sz="0" w:space="0" w:color="auto"/>
                  </w:divBdr>
                  <w:divsChild>
                    <w:div w:id="1434206416">
                      <w:marLeft w:val="0"/>
                      <w:marRight w:val="0"/>
                      <w:marTop w:val="0"/>
                      <w:marBottom w:val="0"/>
                      <w:divBdr>
                        <w:top w:val="none" w:sz="0" w:space="0" w:color="auto"/>
                        <w:left w:val="none" w:sz="0" w:space="0" w:color="auto"/>
                        <w:bottom w:val="none" w:sz="0" w:space="0" w:color="auto"/>
                        <w:right w:val="none" w:sz="0" w:space="0" w:color="auto"/>
                      </w:divBdr>
                      <w:divsChild>
                        <w:div w:id="2016610910">
                          <w:marLeft w:val="0"/>
                          <w:marRight w:val="0"/>
                          <w:marTop w:val="0"/>
                          <w:marBottom w:val="0"/>
                          <w:divBdr>
                            <w:top w:val="none" w:sz="0" w:space="0" w:color="auto"/>
                            <w:left w:val="none" w:sz="0" w:space="0" w:color="auto"/>
                            <w:bottom w:val="none" w:sz="0" w:space="0" w:color="auto"/>
                            <w:right w:val="none" w:sz="0" w:space="0" w:color="auto"/>
                          </w:divBdr>
                          <w:divsChild>
                            <w:div w:id="780144794">
                              <w:marLeft w:val="0"/>
                              <w:marRight w:val="0"/>
                              <w:marTop w:val="0"/>
                              <w:marBottom w:val="0"/>
                              <w:divBdr>
                                <w:top w:val="none" w:sz="0" w:space="0" w:color="auto"/>
                                <w:left w:val="none" w:sz="0" w:space="0" w:color="auto"/>
                                <w:bottom w:val="none" w:sz="0" w:space="0" w:color="auto"/>
                                <w:right w:val="none" w:sz="0" w:space="0" w:color="auto"/>
                              </w:divBdr>
                              <w:divsChild>
                                <w:div w:id="1905987956">
                                  <w:marLeft w:val="0"/>
                                  <w:marRight w:val="0"/>
                                  <w:marTop w:val="0"/>
                                  <w:marBottom w:val="0"/>
                                  <w:divBdr>
                                    <w:top w:val="none" w:sz="0" w:space="0" w:color="auto"/>
                                    <w:left w:val="none" w:sz="0" w:space="0" w:color="auto"/>
                                    <w:bottom w:val="none" w:sz="0" w:space="0" w:color="auto"/>
                                    <w:right w:val="none" w:sz="0" w:space="0" w:color="auto"/>
                                  </w:divBdr>
                                  <w:divsChild>
                                    <w:div w:id="449975964">
                                      <w:marLeft w:val="0"/>
                                      <w:marRight w:val="0"/>
                                      <w:marTop w:val="0"/>
                                      <w:marBottom w:val="0"/>
                                      <w:divBdr>
                                        <w:top w:val="none" w:sz="0" w:space="0" w:color="auto"/>
                                        <w:left w:val="none" w:sz="0" w:space="0" w:color="auto"/>
                                        <w:bottom w:val="none" w:sz="0" w:space="0" w:color="auto"/>
                                        <w:right w:val="none" w:sz="0" w:space="0" w:color="auto"/>
                                      </w:divBdr>
                                      <w:divsChild>
                                        <w:div w:id="1381902513">
                                          <w:marLeft w:val="0"/>
                                          <w:marRight w:val="0"/>
                                          <w:marTop w:val="0"/>
                                          <w:marBottom w:val="0"/>
                                          <w:divBdr>
                                            <w:top w:val="none" w:sz="0" w:space="0" w:color="auto"/>
                                            <w:left w:val="none" w:sz="0" w:space="0" w:color="auto"/>
                                            <w:bottom w:val="none" w:sz="0" w:space="0" w:color="auto"/>
                                            <w:right w:val="none" w:sz="0" w:space="0" w:color="auto"/>
                                          </w:divBdr>
                                          <w:divsChild>
                                            <w:div w:id="1221599136">
                                              <w:marLeft w:val="0"/>
                                              <w:marRight w:val="0"/>
                                              <w:marTop w:val="0"/>
                                              <w:marBottom w:val="0"/>
                                              <w:divBdr>
                                                <w:top w:val="none" w:sz="0" w:space="0" w:color="auto"/>
                                                <w:left w:val="none" w:sz="0" w:space="0" w:color="auto"/>
                                                <w:bottom w:val="none" w:sz="0" w:space="0" w:color="auto"/>
                                                <w:right w:val="none" w:sz="0" w:space="0" w:color="auto"/>
                                              </w:divBdr>
                                              <w:divsChild>
                                                <w:div w:id="167333188">
                                                  <w:marLeft w:val="0"/>
                                                  <w:marRight w:val="0"/>
                                                  <w:marTop w:val="0"/>
                                                  <w:marBottom w:val="0"/>
                                                  <w:divBdr>
                                                    <w:top w:val="none" w:sz="0" w:space="0" w:color="auto"/>
                                                    <w:left w:val="none" w:sz="0" w:space="0" w:color="auto"/>
                                                    <w:bottom w:val="none" w:sz="0" w:space="0" w:color="auto"/>
                                                    <w:right w:val="none" w:sz="0" w:space="0" w:color="auto"/>
                                                  </w:divBdr>
                                                  <w:divsChild>
                                                    <w:div w:id="715589115">
                                                      <w:marLeft w:val="0"/>
                                                      <w:marRight w:val="0"/>
                                                      <w:marTop w:val="0"/>
                                                      <w:marBottom w:val="0"/>
                                                      <w:divBdr>
                                                        <w:top w:val="none" w:sz="0" w:space="0" w:color="auto"/>
                                                        <w:left w:val="none" w:sz="0" w:space="0" w:color="auto"/>
                                                        <w:bottom w:val="none" w:sz="0" w:space="0" w:color="auto"/>
                                                        <w:right w:val="none" w:sz="0" w:space="0" w:color="auto"/>
                                                      </w:divBdr>
                                                      <w:divsChild>
                                                        <w:div w:id="354966662">
                                                          <w:marLeft w:val="0"/>
                                                          <w:marRight w:val="0"/>
                                                          <w:marTop w:val="0"/>
                                                          <w:marBottom w:val="0"/>
                                                          <w:divBdr>
                                                            <w:top w:val="none" w:sz="0" w:space="0" w:color="auto"/>
                                                            <w:left w:val="none" w:sz="0" w:space="0" w:color="auto"/>
                                                            <w:bottom w:val="none" w:sz="0" w:space="0" w:color="auto"/>
                                                            <w:right w:val="none" w:sz="0" w:space="0" w:color="auto"/>
                                                          </w:divBdr>
                                                          <w:divsChild>
                                                            <w:div w:id="2131170406">
                                                              <w:marLeft w:val="0"/>
                                                              <w:marRight w:val="0"/>
                                                              <w:marTop w:val="0"/>
                                                              <w:marBottom w:val="0"/>
                                                              <w:divBdr>
                                                                <w:top w:val="none" w:sz="0" w:space="0" w:color="auto"/>
                                                                <w:left w:val="none" w:sz="0" w:space="0" w:color="auto"/>
                                                                <w:bottom w:val="none" w:sz="0" w:space="0" w:color="auto"/>
                                                                <w:right w:val="none" w:sz="0" w:space="0" w:color="auto"/>
                                                              </w:divBdr>
                                                              <w:divsChild>
                                                                <w:div w:id="972100549">
                                                                  <w:marLeft w:val="0"/>
                                                                  <w:marRight w:val="0"/>
                                                                  <w:marTop w:val="0"/>
                                                                  <w:marBottom w:val="0"/>
                                                                  <w:divBdr>
                                                                    <w:top w:val="none" w:sz="0" w:space="0" w:color="auto"/>
                                                                    <w:left w:val="none" w:sz="0" w:space="0" w:color="auto"/>
                                                                    <w:bottom w:val="none" w:sz="0" w:space="0" w:color="auto"/>
                                                                    <w:right w:val="none" w:sz="0" w:space="0" w:color="auto"/>
                                                                  </w:divBdr>
                                                                  <w:divsChild>
                                                                    <w:div w:id="847326423">
                                                                      <w:marLeft w:val="0"/>
                                                                      <w:marRight w:val="0"/>
                                                                      <w:marTop w:val="0"/>
                                                                      <w:marBottom w:val="0"/>
                                                                      <w:divBdr>
                                                                        <w:top w:val="none" w:sz="0" w:space="0" w:color="auto"/>
                                                                        <w:left w:val="none" w:sz="0" w:space="0" w:color="auto"/>
                                                                        <w:bottom w:val="none" w:sz="0" w:space="0" w:color="auto"/>
                                                                        <w:right w:val="none" w:sz="0" w:space="0" w:color="auto"/>
                                                                      </w:divBdr>
                                                                      <w:divsChild>
                                                                        <w:div w:id="2112310599">
                                                                          <w:marLeft w:val="0"/>
                                                                          <w:marRight w:val="0"/>
                                                                          <w:marTop w:val="0"/>
                                                                          <w:marBottom w:val="0"/>
                                                                          <w:divBdr>
                                                                            <w:top w:val="none" w:sz="0" w:space="0" w:color="auto"/>
                                                                            <w:left w:val="none" w:sz="0" w:space="0" w:color="auto"/>
                                                                            <w:bottom w:val="none" w:sz="0" w:space="0" w:color="auto"/>
                                                                            <w:right w:val="none" w:sz="0" w:space="0" w:color="auto"/>
                                                                          </w:divBdr>
                                                                          <w:divsChild>
                                                                            <w:div w:id="974872909">
                                                                              <w:marLeft w:val="0"/>
                                                                              <w:marRight w:val="0"/>
                                                                              <w:marTop w:val="0"/>
                                                                              <w:marBottom w:val="0"/>
                                                                              <w:divBdr>
                                                                                <w:top w:val="none" w:sz="0" w:space="0" w:color="auto"/>
                                                                                <w:left w:val="none" w:sz="0" w:space="0" w:color="auto"/>
                                                                                <w:bottom w:val="none" w:sz="0" w:space="0" w:color="auto"/>
                                                                                <w:right w:val="none" w:sz="0" w:space="0" w:color="auto"/>
                                                                              </w:divBdr>
                                                                              <w:divsChild>
                                                                                <w:div w:id="952053992">
                                                                                  <w:marLeft w:val="0"/>
                                                                                  <w:marRight w:val="0"/>
                                                                                  <w:marTop w:val="0"/>
                                                                                  <w:marBottom w:val="0"/>
                                                                                  <w:divBdr>
                                                                                    <w:top w:val="none" w:sz="0" w:space="0" w:color="auto"/>
                                                                                    <w:left w:val="none" w:sz="0" w:space="0" w:color="auto"/>
                                                                                    <w:bottom w:val="none" w:sz="0" w:space="0" w:color="auto"/>
                                                                                    <w:right w:val="none" w:sz="0" w:space="0" w:color="auto"/>
                                                                                  </w:divBdr>
                                                                                  <w:divsChild>
                                                                                    <w:div w:id="571619907">
                                                                                      <w:marLeft w:val="0"/>
                                                                                      <w:marRight w:val="0"/>
                                                                                      <w:marTop w:val="0"/>
                                                                                      <w:marBottom w:val="0"/>
                                                                                      <w:divBdr>
                                                                                        <w:top w:val="none" w:sz="0" w:space="0" w:color="auto"/>
                                                                                        <w:left w:val="none" w:sz="0" w:space="0" w:color="auto"/>
                                                                                        <w:bottom w:val="none" w:sz="0" w:space="0" w:color="auto"/>
                                                                                        <w:right w:val="none" w:sz="0" w:space="0" w:color="auto"/>
                                                                                      </w:divBdr>
                                                                                      <w:divsChild>
                                                                                        <w:div w:id="570115269">
                                                                                          <w:marLeft w:val="0"/>
                                                                                          <w:marRight w:val="0"/>
                                                                                          <w:marTop w:val="0"/>
                                                                                          <w:marBottom w:val="0"/>
                                                                                          <w:divBdr>
                                                                                            <w:top w:val="none" w:sz="0" w:space="0" w:color="auto"/>
                                                                                            <w:left w:val="none" w:sz="0" w:space="0" w:color="auto"/>
                                                                                            <w:bottom w:val="none" w:sz="0" w:space="0" w:color="auto"/>
                                                                                            <w:right w:val="none" w:sz="0" w:space="0" w:color="auto"/>
                                                                                          </w:divBdr>
                                                                                          <w:divsChild>
                                                                                            <w:div w:id="2087801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29273044">
          <w:marLeft w:val="0"/>
          <w:marRight w:val="0"/>
          <w:marTop w:val="0"/>
          <w:marBottom w:val="0"/>
          <w:divBdr>
            <w:top w:val="none" w:sz="0" w:space="0" w:color="auto"/>
            <w:left w:val="none" w:sz="0" w:space="0" w:color="auto"/>
            <w:bottom w:val="none" w:sz="0" w:space="0" w:color="auto"/>
            <w:right w:val="none" w:sz="0" w:space="0" w:color="auto"/>
          </w:divBdr>
          <w:divsChild>
            <w:div w:id="1100030778">
              <w:marLeft w:val="0"/>
              <w:marRight w:val="0"/>
              <w:marTop w:val="0"/>
              <w:marBottom w:val="0"/>
              <w:divBdr>
                <w:top w:val="none" w:sz="0" w:space="0" w:color="auto"/>
                <w:left w:val="none" w:sz="0" w:space="0" w:color="auto"/>
                <w:bottom w:val="none" w:sz="0" w:space="0" w:color="auto"/>
                <w:right w:val="none" w:sz="0" w:space="0" w:color="auto"/>
              </w:divBdr>
              <w:divsChild>
                <w:div w:id="2044939014">
                  <w:marLeft w:val="0"/>
                  <w:marRight w:val="0"/>
                  <w:marTop w:val="0"/>
                  <w:marBottom w:val="0"/>
                  <w:divBdr>
                    <w:top w:val="none" w:sz="0" w:space="0" w:color="auto"/>
                    <w:left w:val="none" w:sz="0" w:space="0" w:color="auto"/>
                    <w:bottom w:val="none" w:sz="0" w:space="0" w:color="auto"/>
                    <w:right w:val="none" w:sz="0" w:space="0" w:color="auto"/>
                  </w:divBdr>
                  <w:divsChild>
                    <w:div w:id="561215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3715452">
      <w:bodyDiv w:val="1"/>
      <w:marLeft w:val="0"/>
      <w:marRight w:val="0"/>
      <w:marTop w:val="0"/>
      <w:marBottom w:val="0"/>
      <w:divBdr>
        <w:top w:val="none" w:sz="0" w:space="0" w:color="auto"/>
        <w:left w:val="none" w:sz="0" w:space="0" w:color="auto"/>
        <w:bottom w:val="none" w:sz="0" w:space="0" w:color="auto"/>
        <w:right w:val="none" w:sz="0" w:space="0" w:color="auto"/>
      </w:divBdr>
    </w:div>
    <w:div w:id="841973058">
      <w:bodyDiv w:val="1"/>
      <w:marLeft w:val="0"/>
      <w:marRight w:val="0"/>
      <w:marTop w:val="0"/>
      <w:marBottom w:val="0"/>
      <w:divBdr>
        <w:top w:val="none" w:sz="0" w:space="0" w:color="auto"/>
        <w:left w:val="none" w:sz="0" w:space="0" w:color="auto"/>
        <w:bottom w:val="none" w:sz="0" w:space="0" w:color="auto"/>
        <w:right w:val="none" w:sz="0" w:space="0" w:color="auto"/>
      </w:divBdr>
    </w:div>
    <w:div w:id="875969120">
      <w:bodyDiv w:val="1"/>
      <w:marLeft w:val="0"/>
      <w:marRight w:val="0"/>
      <w:marTop w:val="0"/>
      <w:marBottom w:val="0"/>
      <w:divBdr>
        <w:top w:val="none" w:sz="0" w:space="0" w:color="auto"/>
        <w:left w:val="none" w:sz="0" w:space="0" w:color="auto"/>
        <w:bottom w:val="none" w:sz="0" w:space="0" w:color="auto"/>
        <w:right w:val="none" w:sz="0" w:space="0" w:color="auto"/>
      </w:divBdr>
    </w:div>
    <w:div w:id="1133910830">
      <w:bodyDiv w:val="1"/>
      <w:marLeft w:val="0"/>
      <w:marRight w:val="0"/>
      <w:marTop w:val="0"/>
      <w:marBottom w:val="0"/>
      <w:divBdr>
        <w:top w:val="none" w:sz="0" w:space="0" w:color="auto"/>
        <w:left w:val="none" w:sz="0" w:space="0" w:color="auto"/>
        <w:bottom w:val="none" w:sz="0" w:space="0" w:color="auto"/>
        <w:right w:val="none" w:sz="0" w:space="0" w:color="auto"/>
      </w:divBdr>
    </w:div>
    <w:div w:id="1345478126">
      <w:bodyDiv w:val="1"/>
      <w:marLeft w:val="0"/>
      <w:marRight w:val="0"/>
      <w:marTop w:val="0"/>
      <w:marBottom w:val="0"/>
      <w:divBdr>
        <w:top w:val="none" w:sz="0" w:space="0" w:color="auto"/>
        <w:left w:val="none" w:sz="0" w:space="0" w:color="auto"/>
        <w:bottom w:val="none" w:sz="0" w:space="0" w:color="auto"/>
        <w:right w:val="none" w:sz="0" w:space="0" w:color="auto"/>
      </w:divBdr>
    </w:div>
    <w:div w:id="1672027544">
      <w:bodyDiv w:val="1"/>
      <w:marLeft w:val="0"/>
      <w:marRight w:val="0"/>
      <w:marTop w:val="0"/>
      <w:marBottom w:val="0"/>
      <w:divBdr>
        <w:top w:val="none" w:sz="0" w:space="0" w:color="auto"/>
        <w:left w:val="none" w:sz="0" w:space="0" w:color="auto"/>
        <w:bottom w:val="none" w:sz="0" w:space="0" w:color="auto"/>
        <w:right w:val="none" w:sz="0" w:space="0" w:color="auto"/>
      </w:divBdr>
    </w:div>
    <w:div w:id="1791515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image" Target="cid:image001.png@01D94150.7FE5DC60" TargetMode="Externa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7ADBC2-EABF-4436-ADED-AAE737E08B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754</Words>
  <Characters>5367</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MRO FSS RF</Company>
  <LinksUpToDate>false</LinksUpToDate>
  <CharactersWithSpaces>6109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Чупраков А.В.</dc:creator>
  <cp:lastModifiedBy>Савопуло Валерия Анатольевна</cp:lastModifiedBy>
  <cp:revision>2</cp:revision>
  <cp:lastPrinted>2026-06-11T06:41:00Z</cp:lastPrinted>
  <dcterms:created xsi:type="dcterms:W3CDTF">2026-07-08T05:34:00Z</dcterms:created>
  <dcterms:modified xsi:type="dcterms:W3CDTF">2026-07-08T05:34:00Z</dcterms:modified>
</cp:coreProperties>
</file>