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54" w:rsidRPr="00F1061E" w:rsidRDefault="00EB2F3D" w:rsidP="00EB2F3D">
      <w:pPr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drawing>
          <wp:inline distT="0" distB="0" distL="0" distR="0" wp14:anchorId="7CE1927A">
            <wp:extent cx="2102942" cy="1201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85" cy="124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0ED" w:rsidRPr="00783048" w:rsidRDefault="007E2C54" w:rsidP="006E73AD">
      <w:pPr>
        <w:jc w:val="center"/>
        <w:rPr>
          <w:b/>
          <w:color w:val="C00000"/>
          <w:sz w:val="28"/>
          <w:szCs w:val="28"/>
        </w:rPr>
      </w:pPr>
      <w:r w:rsidRPr="00783048">
        <w:rPr>
          <w:b/>
          <w:color w:val="C00000"/>
          <w:sz w:val="28"/>
          <w:szCs w:val="28"/>
        </w:rPr>
        <w:t>Информация</w:t>
      </w:r>
    </w:p>
    <w:p w:rsidR="00EB2F3D" w:rsidRDefault="00FA78C1" w:rsidP="006E73AD">
      <w:pPr>
        <w:jc w:val="center"/>
        <w:rPr>
          <w:b/>
          <w:color w:val="1F3864" w:themeColor="accent5" w:themeShade="80"/>
          <w:sz w:val="27"/>
          <w:szCs w:val="27"/>
        </w:rPr>
      </w:pPr>
      <w:r w:rsidRPr="00EB2F3D">
        <w:rPr>
          <w:b/>
          <w:color w:val="1F3864" w:themeColor="accent5" w:themeShade="80"/>
          <w:sz w:val="27"/>
          <w:szCs w:val="27"/>
        </w:rPr>
        <w:t>о</w:t>
      </w:r>
      <w:r w:rsidR="00B76567" w:rsidRPr="00EB2F3D">
        <w:rPr>
          <w:b/>
          <w:color w:val="1F3864" w:themeColor="accent5" w:themeShade="80"/>
          <w:sz w:val="27"/>
          <w:szCs w:val="27"/>
        </w:rPr>
        <w:t>б</w:t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 изменени</w:t>
      </w:r>
      <w:r w:rsidRPr="00EB2F3D">
        <w:rPr>
          <w:b/>
          <w:color w:val="1F3864" w:themeColor="accent5" w:themeShade="80"/>
          <w:sz w:val="27"/>
          <w:szCs w:val="27"/>
        </w:rPr>
        <w:t>ях</w:t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, внесенных приказом Минтруда России от </w:t>
      </w:r>
      <w:r w:rsidR="00D87D6A" w:rsidRPr="00EB2F3D">
        <w:rPr>
          <w:b/>
          <w:color w:val="1F3864" w:themeColor="accent5" w:themeShade="80"/>
          <w:sz w:val="27"/>
          <w:szCs w:val="27"/>
        </w:rPr>
        <w:t>8</w:t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 </w:t>
      </w:r>
      <w:r w:rsidR="00D87D6A" w:rsidRPr="00EB2F3D">
        <w:rPr>
          <w:b/>
          <w:color w:val="1F3864" w:themeColor="accent5" w:themeShade="80"/>
          <w:sz w:val="27"/>
          <w:szCs w:val="27"/>
        </w:rPr>
        <w:t>августа</w:t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 202</w:t>
      </w:r>
      <w:r w:rsidR="00D87D6A" w:rsidRPr="00EB2F3D">
        <w:rPr>
          <w:b/>
          <w:color w:val="1F3864" w:themeColor="accent5" w:themeShade="80"/>
          <w:sz w:val="27"/>
          <w:szCs w:val="27"/>
        </w:rPr>
        <w:t>5</w:t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 г. </w:t>
      </w:r>
      <w:r w:rsidR="00B76567" w:rsidRPr="00EB2F3D">
        <w:rPr>
          <w:b/>
          <w:color w:val="1F3864" w:themeColor="accent5" w:themeShade="80"/>
          <w:sz w:val="27"/>
          <w:szCs w:val="27"/>
        </w:rPr>
        <w:br/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№ </w:t>
      </w:r>
      <w:r w:rsidR="00D87D6A" w:rsidRPr="00EB2F3D">
        <w:rPr>
          <w:b/>
          <w:color w:val="1F3864" w:themeColor="accent5" w:themeShade="80"/>
          <w:sz w:val="27"/>
          <w:szCs w:val="27"/>
        </w:rPr>
        <w:t>497</w:t>
      </w:r>
      <w:r w:rsidR="009440ED" w:rsidRPr="00EB2F3D">
        <w:rPr>
          <w:b/>
          <w:color w:val="1F3864" w:themeColor="accent5" w:themeShade="80"/>
          <w:sz w:val="27"/>
          <w:szCs w:val="27"/>
        </w:rPr>
        <w:t xml:space="preserve">н </w:t>
      </w:r>
    </w:p>
    <w:p w:rsidR="00EB2F3D" w:rsidRDefault="009440ED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Pr="00F1061E">
        <w:rPr>
          <w:b/>
          <w:sz w:val="27"/>
          <w:szCs w:val="27"/>
        </w:rPr>
        <w:t>7н»</w:t>
      </w:r>
      <w:r w:rsidR="00783048">
        <w:rPr>
          <w:b/>
          <w:sz w:val="27"/>
          <w:szCs w:val="27"/>
        </w:rPr>
        <w:t xml:space="preserve"> </w:t>
      </w:r>
    </w:p>
    <w:p w:rsidR="009440ED" w:rsidRPr="00EB2F3D" w:rsidRDefault="00783048" w:rsidP="006E73AD">
      <w:pPr>
        <w:jc w:val="center"/>
        <w:rPr>
          <w:b/>
          <w:color w:val="1F3864" w:themeColor="accent5" w:themeShade="80"/>
          <w:sz w:val="27"/>
          <w:szCs w:val="27"/>
        </w:rPr>
      </w:pPr>
      <w:r w:rsidRPr="00EB2F3D">
        <w:rPr>
          <w:b/>
          <w:color w:val="1F3864" w:themeColor="accent5" w:themeShade="80"/>
          <w:sz w:val="27"/>
          <w:szCs w:val="27"/>
        </w:rPr>
        <w:t>(Далее – Правила)</w:t>
      </w:r>
      <w:r w:rsidR="009440ED" w:rsidRPr="00EB2F3D">
        <w:rPr>
          <w:b/>
          <w:color w:val="1F3864" w:themeColor="accent5" w:themeShade="80"/>
          <w:sz w:val="27"/>
          <w:szCs w:val="27"/>
        </w:rPr>
        <w:t>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="00783048" w:rsidRPr="00F43D7D">
        <w:rPr>
          <w:b/>
          <w:color w:val="1F3864" w:themeColor="accent5" w:themeShade="80"/>
          <w:sz w:val="27"/>
          <w:szCs w:val="27"/>
        </w:rPr>
        <w:t xml:space="preserve">в Правила </w:t>
      </w:r>
      <w:r w:rsidRPr="00783048">
        <w:rPr>
          <w:b/>
          <w:color w:val="002060"/>
          <w:sz w:val="27"/>
          <w:szCs w:val="27"/>
        </w:rPr>
        <w:t>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</w:t>
      </w:r>
      <w:r w:rsidR="00AE0410" w:rsidRPr="00783048">
        <w:rPr>
          <w:b/>
          <w:color w:val="002060"/>
          <w:sz w:val="27"/>
          <w:szCs w:val="27"/>
        </w:rPr>
        <w:t>расширения внутреннего содержания ряда мероприятий</w:t>
      </w:r>
      <w:r w:rsidR="00AE0410" w:rsidRPr="003B26D0">
        <w:rPr>
          <w:color w:val="000000"/>
          <w:sz w:val="27"/>
          <w:szCs w:val="27"/>
        </w:rPr>
        <w:t xml:space="preserve">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</w:t>
      </w:r>
      <w:r w:rsidRPr="00783048">
        <w:rPr>
          <w:b/>
          <w:color w:val="002060"/>
          <w:sz w:val="27"/>
          <w:szCs w:val="27"/>
        </w:rPr>
        <w:t>изменениями в законодательстве</w:t>
      </w:r>
      <w:r w:rsidRPr="003B26D0">
        <w:rPr>
          <w:sz w:val="27"/>
          <w:szCs w:val="27"/>
        </w:rPr>
        <w:t xml:space="preserve"> Российской Федерации, </w:t>
      </w:r>
      <w:r w:rsidRPr="00783048">
        <w:rPr>
          <w:b/>
          <w:color w:val="002060"/>
          <w:sz w:val="27"/>
          <w:szCs w:val="27"/>
        </w:rPr>
        <w:t xml:space="preserve">регулирующем порядок и условия проведения </w:t>
      </w:r>
      <w:r w:rsidR="00AE0410" w:rsidRPr="00783048">
        <w:rPr>
          <w:b/>
          <w:color w:val="002060"/>
          <w:sz w:val="27"/>
          <w:szCs w:val="27"/>
        </w:rPr>
        <w:t>некоторых</w:t>
      </w:r>
      <w:r w:rsidRPr="00783048">
        <w:rPr>
          <w:b/>
          <w:color w:val="002060"/>
          <w:sz w:val="27"/>
          <w:szCs w:val="27"/>
        </w:rPr>
        <w:t xml:space="preserve"> меро</w:t>
      </w:r>
      <w:r w:rsidR="00AE0410" w:rsidRPr="00783048">
        <w:rPr>
          <w:b/>
          <w:color w:val="002060"/>
          <w:sz w:val="27"/>
          <w:szCs w:val="27"/>
        </w:rPr>
        <w:t>приятий</w:t>
      </w:r>
      <w:r w:rsidR="00AE0410" w:rsidRPr="003B26D0">
        <w:rPr>
          <w:sz w:val="27"/>
          <w:szCs w:val="27"/>
        </w:rPr>
        <w:t>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EB2F3D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</w:t>
      </w:r>
      <w:r w:rsidRPr="00783048">
        <w:rPr>
          <w:b/>
          <w:color w:val="002060"/>
          <w:sz w:val="27"/>
          <w:szCs w:val="27"/>
          <w:lang w:eastAsia="en-US"/>
        </w:rPr>
        <w:t>урегулированы способы подачи заявлений</w:t>
      </w:r>
      <w:r w:rsidRPr="00783048">
        <w:rPr>
          <w:color w:val="002060"/>
          <w:sz w:val="27"/>
          <w:szCs w:val="27"/>
          <w:lang w:eastAsia="en-US"/>
        </w:rPr>
        <w:t xml:space="preserve"> </w:t>
      </w:r>
      <w:r w:rsidRPr="003B26D0">
        <w:rPr>
          <w:color w:val="000000"/>
          <w:sz w:val="27"/>
          <w:szCs w:val="27"/>
          <w:lang w:eastAsia="en-US"/>
        </w:rPr>
        <w:t xml:space="preserve">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, в том числе </w:t>
      </w:r>
      <w:r w:rsidRPr="00783048">
        <w:rPr>
          <w:b/>
          <w:color w:val="002060"/>
          <w:sz w:val="27"/>
          <w:szCs w:val="27"/>
          <w:lang w:eastAsia="en-US"/>
        </w:rPr>
        <w:t>обязанность подписания их усиленной квалифицированной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</w:t>
      </w:r>
      <w:r w:rsidRPr="009F4426">
        <w:rPr>
          <w:b/>
          <w:color w:val="1F3864" w:themeColor="accent5" w:themeShade="80"/>
          <w:spacing w:val="-2"/>
          <w:sz w:val="27"/>
          <w:szCs w:val="27"/>
        </w:rPr>
        <w:t>оплату санаторно-курортного лечения</w:t>
      </w:r>
      <w:r w:rsidRPr="009F4426">
        <w:rPr>
          <w:color w:val="1F3864" w:themeColor="accent5" w:themeShade="80"/>
          <w:spacing w:val="-2"/>
          <w:sz w:val="27"/>
          <w:szCs w:val="27"/>
        </w:rPr>
        <w:t xml:space="preserve"> </w:t>
      </w:r>
      <w:r w:rsidR="00B76567">
        <w:rPr>
          <w:spacing w:val="-2"/>
          <w:sz w:val="27"/>
          <w:szCs w:val="27"/>
        </w:rPr>
        <w:br/>
      </w:r>
      <w:r w:rsidRPr="00783048">
        <w:rPr>
          <w:b/>
          <w:color w:val="002060"/>
          <w:spacing w:val="-2"/>
          <w:sz w:val="27"/>
          <w:szCs w:val="27"/>
        </w:rPr>
        <w:t>с учетом туристического налога,</w:t>
      </w:r>
      <w:r w:rsidRPr="00783048">
        <w:rPr>
          <w:b/>
          <w:color w:val="002060"/>
          <w:sz w:val="27"/>
          <w:szCs w:val="27"/>
          <w:lang w:eastAsia="ru-RU"/>
        </w:rPr>
        <w:t xml:space="preserve"> включенного 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Добавлены </w:t>
      </w:r>
      <w:r w:rsidRPr="00783048">
        <w:rPr>
          <w:b/>
          <w:color w:val="002060"/>
          <w:sz w:val="27"/>
          <w:szCs w:val="27"/>
        </w:rPr>
        <w:t>две причины отказа</w:t>
      </w:r>
      <w:r w:rsidRPr="00783048">
        <w:rPr>
          <w:color w:val="002060"/>
          <w:sz w:val="27"/>
          <w:szCs w:val="27"/>
        </w:rPr>
        <w:t xml:space="preserve"> </w:t>
      </w:r>
      <w:r>
        <w:rPr>
          <w:sz w:val="27"/>
          <w:szCs w:val="27"/>
        </w:rPr>
        <w:t>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EB2F3D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783048">
        <w:rPr>
          <w:b/>
          <w:bCs/>
          <w:color w:val="002060"/>
          <w:sz w:val="27"/>
          <w:szCs w:val="27"/>
        </w:rPr>
        <w:t>порядок принятия решений</w:t>
      </w:r>
      <w:r w:rsidR="00643CF6" w:rsidRPr="00783048">
        <w:rPr>
          <w:bCs/>
          <w:color w:val="002060"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</w:t>
      </w:r>
      <w:r w:rsidR="00643CF6" w:rsidRPr="00783048">
        <w:rPr>
          <w:b/>
          <w:bCs/>
          <w:color w:val="002060"/>
          <w:sz w:val="27"/>
          <w:szCs w:val="27"/>
        </w:rPr>
        <w:t>с соблюдением очередности подачи страхователями заявлений</w:t>
      </w:r>
      <w:r w:rsidR="00643CF6" w:rsidRPr="00783048">
        <w:rPr>
          <w:bCs/>
          <w:color w:val="002060"/>
          <w:sz w:val="27"/>
          <w:szCs w:val="27"/>
        </w:rPr>
        <w:t xml:space="preserve"> </w:t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>
        <w:rPr>
          <w:sz w:val="27"/>
          <w:szCs w:val="27"/>
        </w:rPr>
        <w:t xml:space="preserve"> 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lastRenderedPageBreak/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783048">
        <w:rPr>
          <w:b/>
          <w:color w:val="002060"/>
          <w:sz w:val="27"/>
          <w:szCs w:val="27"/>
          <w:lang w:eastAsia="ru-RU"/>
        </w:rPr>
        <w:t>Увеличен срок обращения</w:t>
      </w:r>
      <w:r w:rsidRPr="00783048">
        <w:rPr>
          <w:color w:val="002060"/>
          <w:sz w:val="27"/>
          <w:szCs w:val="27"/>
          <w:lang w:eastAsia="ru-RU"/>
        </w:rPr>
        <w:t xml:space="preserve"> </w:t>
      </w:r>
      <w:r w:rsidRPr="00C03604">
        <w:rPr>
          <w:sz w:val="27"/>
          <w:szCs w:val="27"/>
          <w:lang w:eastAsia="ru-RU"/>
        </w:rPr>
        <w:t xml:space="preserve">страхователей </w:t>
      </w:r>
      <w:r w:rsidRPr="00783048">
        <w:rPr>
          <w:b/>
          <w:color w:val="002060"/>
          <w:sz w:val="27"/>
          <w:szCs w:val="27"/>
          <w:lang w:eastAsia="ru-RU"/>
        </w:rPr>
        <w:t>для увеличения суммы</w:t>
      </w:r>
      <w:r w:rsidRPr="00783048">
        <w:rPr>
          <w:color w:val="002060"/>
          <w:sz w:val="27"/>
          <w:szCs w:val="27"/>
          <w:lang w:eastAsia="ru-RU"/>
        </w:rPr>
        <w:t xml:space="preserve"> </w:t>
      </w:r>
      <w:r w:rsidRPr="00C03604">
        <w:rPr>
          <w:sz w:val="27"/>
          <w:szCs w:val="27"/>
          <w:lang w:eastAsia="ru-RU"/>
        </w:rPr>
        <w:t>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, указанной в решении территориального органа СФР </w:t>
      </w:r>
      <w:r w:rsidR="00285FFF" w:rsidRPr="00783048">
        <w:rPr>
          <w:b/>
          <w:color w:val="002060"/>
          <w:sz w:val="27"/>
          <w:szCs w:val="27"/>
          <w:lang w:eastAsia="ru-RU"/>
        </w:rPr>
        <w:t>по первоначальному заявлению</w:t>
      </w:r>
      <w:r w:rsidRPr="00783048">
        <w:rPr>
          <w:color w:val="002060"/>
          <w:sz w:val="27"/>
          <w:szCs w:val="27"/>
          <w:lang w:eastAsia="ru-RU"/>
        </w:rPr>
        <w:t xml:space="preserve"> </w:t>
      </w:r>
      <w:r w:rsidRPr="00C03604">
        <w:rPr>
          <w:sz w:val="27"/>
          <w:szCs w:val="27"/>
          <w:lang w:eastAsia="ru-RU"/>
        </w:rPr>
        <w:t>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 xml:space="preserve">несено положение, устанавливающее </w:t>
      </w:r>
      <w:r w:rsidR="00285FFF" w:rsidRPr="00783048">
        <w:rPr>
          <w:b/>
          <w:color w:val="002060"/>
          <w:sz w:val="27"/>
          <w:szCs w:val="27"/>
          <w:lang w:eastAsia="ru-RU"/>
        </w:rPr>
        <w:t>право страхователя</w:t>
      </w:r>
      <w:r w:rsidR="007C2452" w:rsidRPr="00783048">
        <w:rPr>
          <w:color w:val="002060"/>
          <w:sz w:val="27"/>
          <w:szCs w:val="27"/>
          <w:lang w:eastAsia="ru-RU"/>
        </w:rPr>
        <w:t xml:space="preserve"> </w:t>
      </w:r>
      <w:r w:rsidR="007C2452" w:rsidRPr="00C03604">
        <w:rPr>
          <w:sz w:val="27"/>
          <w:szCs w:val="27"/>
          <w:lang w:eastAsia="ru-RU"/>
        </w:rPr>
        <w:t xml:space="preserve">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</w:t>
      </w:r>
      <w:r w:rsidR="00285FFF" w:rsidRPr="009E1843">
        <w:rPr>
          <w:b/>
          <w:color w:val="002060"/>
          <w:sz w:val="27"/>
          <w:szCs w:val="27"/>
          <w:lang w:eastAsia="ru-RU"/>
        </w:rPr>
        <w:t xml:space="preserve">в срок </w:t>
      </w:r>
      <w:r w:rsidRPr="009E1843">
        <w:rPr>
          <w:b/>
          <w:color w:val="002060"/>
          <w:sz w:val="27"/>
          <w:szCs w:val="27"/>
          <w:lang w:eastAsia="ru-RU"/>
        </w:rPr>
        <w:br/>
      </w:r>
      <w:r w:rsidR="00285FFF" w:rsidRPr="009E1843">
        <w:rPr>
          <w:b/>
          <w:color w:val="002060"/>
          <w:sz w:val="27"/>
          <w:szCs w:val="27"/>
          <w:lang w:eastAsia="ru-RU"/>
        </w:rPr>
        <w:t>не позднее 15 октября</w:t>
      </w:r>
      <w:r w:rsidR="00285FFF" w:rsidRPr="00C03604">
        <w:rPr>
          <w:sz w:val="27"/>
          <w:szCs w:val="27"/>
          <w:lang w:eastAsia="ru-RU"/>
        </w:rPr>
        <w:t xml:space="preserve">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</w:t>
      </w:r>
      <w:r w:rsidR="007C2452" w:rsidRPr="009E1843">
        <w:rPr>
          <w:b/>
          <w:color w:val="002060"/>
          <w:sz w:val="27"/>
          <w:szCs w:val="27"/>
          <w:lang w:eastAsia="ru-RU"/>
        </w:rPr>
        <w:t>об уменьшении</w:t>
      </w:r>
      <w:r w:rsidR="007C2452" w:rsidRPr="00C03604">
        <w:rPr>
          <w:sz w:val="27"/>
          <w:szCs w:val="27"/>
          <w:lang w:eastAsia="ru-RU"/>
        </w:rPr>
        <w:t xml:space="preserve">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E97970" w:rsidRPr="004118A4" w:rsidRDefault="00C03604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4118A4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4118A4">
        <w:rPr>
          <w:sz w:val="27"/>
          <w:szCs w:val="27"/>
          <w:lang w:eastAsia="ru-RU"/>
        </w:rPr>
        <w:t xml:space="preserve">(по выбору) </w:t>
      </w:r>
      <w:r w:rsidR="00B93646" w:rsidRPr="004118A4">
        <w:rPr>
          <w:sz w:val="27"/>
          <w:szCs w:val="27"/>
          <w:lang w:eastAsia="ru-RU"/>
        </w:rPr>
        <w:br/>
      </w:r>
      <w:r w:rsidRPr="004118A4">
        <w:rPr>
          <w:sz w:val="27"/>
          <w:szCs w:val="27"/>
          <w:lang w:eastAsia="ru-RU"/>
        </w:rPr>
        <w:t xml:space="preserve">для обоснования </w:t>
      </w:r>
      <w:r w:rsidR="00EE4BB0" w:rsidRPr="004118A4">
        <w:rPr>
          <w:sz w:val="27"/>
          <w:szCs w:val="27"/>
          <w:lang w:eastAsia="ru-RU"/>
        </w:rPr>
        <w:t xml:space="preserve">произведенных расходов на </w:t>
      </w:r>
      <w:r w:rsidRPr="004118A4">
        <w:rPr>
          <w:sz w:val="27"/>
          <w:szCs w:val="27"/>
          <w:lang w:eastAsia="ru-RU"/>
        </w:rPr>
        <w:t>предупредительно</w:t>
      </w:r>
      <w:r w:rsidR="00EE4BB0" w:rsidRPr="004118A4">
        <w:rPr>
          <w:sz w:val="27"/>
          <w:szCs w:val="27"/>
          <w:lang w:eastAsia="ru-RU"/>
        </w:rPr>
        <w:t>е</w:t>
      </w:r>
      <w:r w:rsidRPr="004118A4">
        <w:rPr>
          <w:sz w:val="27"/>
          <w:szCs w:val="27"/>
          <w:lang w:eastAsia="ru-RU"/>
        </w:rPr>
        <w:t xml:space="preserve"> мероприяти</w:t>
      </w:r>
      <w:r w:rsidR="00EE4BB0" w:rsidRPr="004118A4">
        <w:rPr>
          <w:sz w:val="27"/>
          <w:szCs w:val="27"/>
          <w:lang w:eastAsia="ru-RU"/>
        </w:rPr>
        <w:t>е</w:t>
      </w:r>
      <w:r w:rsidR="00B93646" w:rsidRPr="004118A4">
        <w:rPr>
          <w:sz w:val="27"/>
          <w:szCs w:val="27"/>
          <w:lang w:eastAsia="ru-RU"/>
        </w:rPr>
        <w:t>,</w:t>
      </w:r>
      <w:r w:rsidRPr="004118A4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4118A4">
        <w:rPr>
          <w:sz w:val="27"/>
          <w:szCs w:val="27"/>
          <w:lang w:eastAsia="ru-RU"/>
        </w:rPr>
        <w:t xml:space="preserve"> </w:t>
      </w:r>
      <w:r w:rsidRPr="004118A4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4118A4">
        <w:rPr>
          <w:sz w:val="27"/>
          <w:szCs w:val="27"/>
          <w:lang w:eastAsia="ru-RU"/>
        </w:rPr>
        <w:t>пециальной оценки условий труда.</w:t>
      </w:r>
      <w:r w:rsidR="00E97970" w:rsidRPr="004118A4">
        <w:rPr>
          <w:sz w:val="27"/>
          <w:szCs w:val="27"/>
          <w:lang w:eastAsia="ru-RU"/>
        </w:rPr>
        <w:t xml:space="preserve"> </w:t>
      </w:r>
    </w:p>
    <w:p w:rsidR="00A77C1E" w:rsidRPr="003B26D0" w:rsidRDefault="00A77C1E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7"/>
          <w:szCs w:val="27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</w:t>
      </w:r>
      <w:r w:rsidRPr="004118A4">
        <w:rPr>
          <w:b/>
          <w:color w:val="002060"/>
          <w:sz w:val="27"/>
          <w:szCs w:val="27"/>
          <w:lang w:eastAsia="ru-RU"/>
        </w:rPr>
        <w:t>вносятся изменения</w:t>
      </w:r>
      <w:r w:rsidRPr="003B26D0">
        <w:rPr>
          <w:sz w:val="27"/>
          <w:szCs w:val="27"/>
          <w:lang w:eastAsia="ru-RU"/>
        </w:rPr>
        <w:t xml:space="preserve">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</w:t>
      </w:r>
      <w:r w:rsidR="00A27711" w:rsidRPr="004118A4">
        <w:rPr>
          <w:b/>
          <w:color w:val="002060"/>
          <w:sz w:val="27"/>
          <w:szCs w:val="27"/>
          <w:lang w:eastAsia="ru-RU"/>
        </w:rPr>
        <w:t>обучения по охране труда</w:t>
      </w:r>
      <w:r w:rsidR="00A27711" w:rsidRPr="004118A4">
        <w:rPr>
          <w:color w:val="002060"/>
          <w:sz w:val="27"/>
          <w:szCs w:val="27"/>
          <w:lang w:eastAsia="ru-RU"/>
        </w:rPr>
        <w:t xml:space="preserve">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>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(далее - обучение требованиям охраны труда).</w:t>
      </w:r>
    </w:p>
    <w:p w:rsidR="00D87D6A" w:rsidRPr="005D7632" w:rsidRDefault="00A77C1E" w:rsidP="00EB2F3D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lastRenderedPageBreak/>
        <w:t xml:space="preserve">Таким образом, согласно внесенным в </w:t>
      </w:r>
      <w:r w:rsidRPr="004118A4">
        <w:rPr>
          <w:b/>
          <w:color w:val="002060"/>
          <w:spacing w:val="-2"/>
          <w:sz w:val="27"/>
          <w:szCs w:val="27"/>
        </w:rPr>
        <w:t>Правила изменениям</w:t>
      </w:r>
      <w:r w:rsidRPr="004118A4">
        <w:rPr>
          <w:color w:val="002060"/>
          <w:spacing w:val="-2"/>
          <w:sz w:val="27"/>
          <w:szCs w:val="27"/>
        </w:rPr>
        <w:t xml:space="preserve"> </w:t>
      </w:r>
      <w:r w:rsidRPr="005D7632">
        <w:rPr>
          <w:spacing w:val="-2"/>
          <w:sz w:val="27"/>
          <w:szCs w:val="27"/>
        </w:rPr>
        <w:t xml:space="preserve">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</w:t>
      </w:r>
      <w:r w:rsidRPr="004118A4">
        <w:rPr>
          <w:b/>
          <w:color w:val="002060"/>
          <w:spacing w:val="-2"/>
          <w:sz w:val="27"/>
          <w:szCs w:val="27"/>
        </w:rPr>
        <w:t>подлежит</w:t>
      </w:r>
      <w:r w:rsidR="00B82C7F" w:rsidRPr="004118A4">
        <w:rPr>
          <w:b/>
          <w:color w:val="002060"/>
          <w:spacing w:val="-2"/>
          <w:sz w:val="27"/>
          <w:szCs w:val="27"/>
        </w:rPr>
        <w:t xml:space="preserve"> </w:t>
      </w:r>
      <w:r w:rsidR="00B82C7F" w:rsidRPr="004118A4">
        <w:rPr>
          <w:b/>
          <w:color w:val="002060"/>
          <w:sz w:val="27"/>
          <w:szCs w:val="27"/>
        </w:rPr>
        <w:t>обучени</w:t>
      </w:r>
      <w:r w:rsidR="00D87D6A" w:rsidRPr="004118A4">
        <w:rPr>
          <w:b/>
          <w:color w:val="002060"/>
          <w:sz w:val="27"/>
          <w:szCs w:val="27"/>
        </w:rPr>
        <w:t>е</w:t>
      </w:r>
      <w:r w:rsidR="00B82C7F" w:rsidRPr="004118A4">
        <w:rPr>
          <w:b/>
          <w:color w:val="002060"/>
          <w:sz w:val="27"/>
          <w:szCs w:val="27"/>
        </w:rPr>
        <w:t xml:space="preserve"> требованиям охраны труда</w:t>
      </w:r>
      <w:r w:rsidR="00B82C7F" w:rsidRPr="004118A4">
        <w:rPr>
          <w:b/>
          <w:color w:val="002060"/>
          <w:spacing w:val="-2"/>
          <w:sz w:val="27"/>
          <w:szCs w:val="27"/>
        </w:rPr>
        <w:t xml:space="preserve">, </w:t>
      </w:r>
      <w:r w:rsidR="00B76567" w:rsidRPr="004118A4">
        <w:rPr>
          <w:b/>
          <w:color w:val="002060"/>
          <w:spacing w:val="-2"/>
          <w:sz w:val="27"/>
          <w:szCs w:val="27"/>
        </w:rPr>
        <w:br/>
      </w:r>
      <w:r w:rsidR="00B82C7F" w:rsidRPr="004118A4">
        <w:rPr>
          <w:b/>
          <w:color w:val="002060"/>
          <w:spacing w:val="-2"/>
          <w:sz w:val="27"/>
          <w:szCs w:val="27"/>
        </w:rPr>
        <w:t>а также</w:t>
      </w:r>
      <w:r w:rsidR="00B82C7F" w:rsidRPr="004118A4">
        <w:rPr>
          <w:b/>
          <w:color w:val="002060"/>
          <w:sz w:val="27"/>
          <w:szCs w:val="27"/>
        </w:rPr>
        <w:t xml:space="preserve"> </w:t>
      </w:r>
      <w:r w:rsidRPr="004118A4">
        <w:rPr>
          <w:b/>
          <w:color w:val="002060"/>
          <w:sz w:val="27"/>
          <w:szCs w:val="27"/>
        </w:rPr>
        <w:t>обучение по оказ</w:t>
      </w:r>
      <w:r w:rsidR="001F6C1A" w:rsidRPr="004118A4">
        <w:rPr>
          <w:b/>
          <w:color w:val="002060"/>
          <w:sz w:val="27"/>
          <w:szCs w:val="27"/>
        </w:rPr>
        <w:t>анию первой помощи пострадавшим и</w:t>
      </w:r>
      <w:r w:rsidRPr="004118A4">
        <w:rPr>
          <w:b/>
          <w:color w:val="002060"/>
          <w:sz w:val="27"/>
          <w:szCs w:val="27"/>
        </w:rPr>
        <w:t xml:space="preserve"> обучение </w:t>
      </w:r>
      <w:r w:rsidR="00B76567" w:rsidRPr="004118A4">
        <w:rPr>
          <w:b/>
          <w:color w:val="002060"/>
          <w:sz w:val="27"/>
          <w:szCs w:val="27"/>
        </w:rPr>
        <w:br/>
      </w:r>
      <w:r w:rsidRPr="004118A4">
        <w:rPr>
          <w:b/>
          <w:color w:val="002060"/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EB2F3D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4118A4">
        <w:rPr>
          <w:b/>
          <w:color w:val="002060"/>
          <w:spacing w:val="-2"/>
          <w:sz w:val="27"/>
          <w:szCs w:val="27"/>
        </w:rPr>
        <w:t xml:space="preserve">добавлены </w:t>
      </w:r>
      <w:r w:rsidRPr="004118A4">
        <w:rPr>
          <w:b/>
          <w:color w:val="002060"/>
          <w:sz w:val="27"/>
          <w:szCs w:val="27"/>
          <w:lang w:eastAsia="en-US"/>
        </w:rPr>
        <w:t>категории работников</w:t>
      </w:r>
      <w:r w:rsidRPr="004118A4">
        <w:rPr>
          <w:color w:val="002060"/>
          <w:sz w:val="27"/>
          <w:szCs w:val="27"/>
          <w:lang w:eastAsia="en-US"/>
        </w:rPr>
        <w:t xml:space="preserve"> </w:t>
      </w:r>
      <w:r w:rsidRPr="00311A93">
        <w:rPr>
          <w:color w:val="000000"/>
          <w:sz w:val="27"/>
          <w:szCs w:val="27"/>
          <w:lang w:eastAsia="en-US"/>
        </w:rPr>
        <w:t>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</w:t>
      </w:r>
      <w:r w:rsidRPr="004118A4">
        <w:rPr>
          <w:b/>
          <w:color w:val="002060"/>
          <w:sz w:val="27"/>
          <w:szCs w:val="27"/>
          <w:lang w:eastAsia="en-US"/>
        </w:rPr>
        <w:t>документы, обосновывающие направление данных категорий работников</w:t>
      </w:r>
      <w:r w:rsidRPr="004118A4">
        <w:rPr>
          <w:color w:val="002060"/>
          <w:sz w:val="27"/>
          <w:szCs w:val="27"/>
          <w:lang w:eastAsia="en-US"/>
        </w:rPr>
        <w:t xml:space="preserve">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EB2F3D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</w:t>
      </w:r>
      <w:r w:rsidRPr="00715593">
        <w:rPr>
          <w:b/>
          <w:color w:val="1F3864" w:themeColor="accent5" w:themeShade="80"/>
          <w:sz w:val="27"/>
          <w:szCs w:val="27"/>
          <w:lang w:eastAsia="en-US"/>
        </w:rPr>
        <w:t>первой помощи пострадавшим</w:t>
      </w:r>
      <w:r w:rsidRPr="00715593">
        <w:rPr>
          <w:color w:val="1F3864" w:themeColor="accent5" w:themeShade="8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 xml:space="preserve">за счет средств СФР подлежат категории работников, указанные в подпунктах </w:t>
      </w:r>
      <w:r w:rsidRPr="00715593">
        <w:rPr>
          <w:b/>
          <w:color w:val="1F3864" w:themeColor="accent5" w:themeShade="80"/>
          <w:sz w:val="27"/>
          <w:szCs w:val="27"/>
          <w:lang w:eastAsia="en-US"/>
        </w:rPr>
        <w:t>«б»</w:t>
      </w:r>
      <w:r w:rsidR="005D7632" w:rsidRPr="00715593">
        <w:rPr>
          <w:b/>
          <w:color w:val="1F3864" w:themeColor="accent5" w:themeShade="80"/>
          <w:sz w:val="27"/>
          <w:szCs w:val="27"/>
          <w:lang w:eastAsia="en-US"/>
        </w:rPr>
        <w:t xml:space="preserve"> </w:t>
      </w:r>
      <w:r w:rsidRPr="00715593">
        <w:rPr>
          <w:b/>
          <w:color w:val="1F3864" w:themeColor="accent5" w:themeShade="80"/>
          <w:sz w:val="27"/>
          <w:szCs w:val="27"/>
          <w:lang w:eastAsia="en-US"/>
        </w:rPr>
        <w:t>-</w:t>
      </w:r>
      <w:r w:rsidR="005D7632" w:rsidRPr="00715593">
        <w:rPr>
          <w:b/>
          <w:color w:val="1F3864" w:themeColor="accent5" w:themeShade="80"/>
          <w:sz w:val="27"/>
          <w:szCs w:val="27"/>
          <w:lang w:eastAsia="en-US"/>
        </w:rPr>
        <w:t xml:space="preserve"> </w:t>
      </w:r>
      <w:r w:rsidRPr="00715593">
        <w:rPr>
          <w:b/>
          <w:color w:val="1F3864" w:themeColor="accent5" w:themeShade="80"/>
          <w:sz w:val="27"/>
          <w:szCs w:val="27"/>
          <w:lang w:eastAsia="en-US"/>
        </w:rPr>
        <w:t>«е» пункта 33 Правил</w:t>
      </w:r>
      <w:r w:rsidR="005D7632" w:rsidRPr="00715593">
        <w:rPr>
          <w:b/>
          <w:color w:val="1F3864" w:themeColor="accent5" w:themeShade="80"/>
          <w:sz w:val="27"/>
          <w:szCs w:val="27"/>
          <w:lang w:eastAsia="en-US"/>
        </w:rPr>
        <w:t xml:space="preserve"> обучения</w:t>
      </w:r>
      <w:r w:rsidR="005D7632">
        <w:rPr>
          <w:color w:val="000000"/>
          <w:sz w:val="27"/>
          <w:szCs w:val="27"/>
          <w:lang w:eastAsia="en-US"/>
        </w:rPr>
        <w:t xml:space="preserve">, а обучению по использованию </w:t>
      </w:r>
      <w:proofErr w:type="gramStart"/>
      <w:r w:rsidR="005D7632" w:rsidRPr="00715593">
        <w:rPr>
          <w:b/>
          <w:color w:val="1F3864" w:themeColor="accent5" w:themeShade="80"/>
          <w:sz w:val="27"/>
          <w:szCs w:val="27"/>
          <w:lang w:eastAsia="en-US"/>
        </w:rPr>
        <w:t>СИЗ  -</w:t>
      </w:r>
      <w:proofErr w:type="gramEnd"/>
      <w:r w:rsidR="005D7632" w:rsidRPr="00715593">
        <w:rPr>
          <w:b/>
          <w:color w:val="1F3864" w:themeColor="accent5" w:themeShade="80"/>
          <w:sz w:val="27"/>
          <w:szCs w:val="27"/>
          <w:lang w:eastAsia="en-US"/>
        </w:rPr>
        <w:t xml:space="preserve">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EB2F3D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обеспечивающие </w:t>
      </w:r>
      <w:r w:rsidR="0034463C" w:rsidRPr="00715593">
        <w:rPr>
          <w:rFonts w:ascii="Times New Roman" w:hAnsi="Times New Roman" w:cs="Times New Roman"/>
          <w:b/>
          <w:color w:val="1F3864" w:themeColor="accent5" w:themeShade="80"/>
          <w:spacing w:val="-2"/>
          <w:sz w:val="27"/>
          <w:szCs w:val="27"/>
        </w:rPr>
        <w:t>возможность</w:t>
      </w:r>
      <w:r w:rsidR="0034463C" w:rsidRPr="00715593">
        <w:rPr>
          <w:rFonts w:ascii="Times New Roman" w:hAnsi="Times New Roman" w:cs="Times New Roman"/>
          <w:color w:val="1F3864" w:themeColor="accent5" w:themeShade="80"/>
          <w:spacing w:val="-2"/>
          <w:sz w:val="27"/>
          <w:szCs w:val="27"/>
        </w:rPr>
        <w:t xml:space="preserve">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715593">
        <w:rPr>
          <w:rFonts w:ascii="Times New Roman" w:hAnsi="Times New Roman" w:cs="Times New Roman"/>
          <w:b/>
          <w:color w:val="1F3864" w:themeColor="accent5" w:themeShade="80"/>
          <w:spacing w:val="-2"/>
          <w:sz w:val="27"/>
          <w:szCs w:val="27"/>
        </w:rPr>
        <w:t>приобрет</w:t>
      </w:r>
      <w:r w:rsidR="0034463C" w:rsidRPr="00715593">
        <w:rPr>
          <w:rFonts w:ascii="Times New Roman" w:hAnsi="Times New Roman" w:cs="Times New Roman"/>
          <w:b/>
          <w:color w:val="1F3864" w:themeColor="accent5" w:themeShade="80"/>
          <w:spacing w:val="-2"/>
          <w:sz w:val="27"/>
          <w:szCs w:val="27"/>
        </w:rPr>
        <w:t>ать</w:t>
      </w:r>
      <w:r w:rsidRPr="00715593">
        <w:rPr>
          <w:rFonts w:ascii="Times New Roman" w:hAnsi="Times New Roman" w:cs="Times New Roman"/>
          <w:b/>
          <w:color w:val="1F3864" w:themeColor="accent5" w:themeShade="80"/>
          <w:spacing w:val="-2"/>
          <w:sz w:val="27"/>
          <w:szCs w:val="27"/>
        </w:rPr>
        <w:t xml:space="preserve"> </w:t>
      </w:r>
      <w:r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>автоматизированны</w:t>
      </w:r>
      <w:r w:rsidR="0034463C"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>е</w:t>
      </w:r>
      <w:r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 xml:space="preserve"> систем</w:t>
      </w:r>
      <w:r w:rsidR="0034463C"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>ы</w:t>
      </w:r>
      <w:r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 xml:space="preserve"> выдачи</w:t>
      </w:r>
      <w:r w:rsidRPr="00715593">
        <w:rPr>
          <w:rFonts w:ascii="Times New Roman" w:hAnsi="Times New Roman" w:cs="Times New Roman"/>
          <w:color w:val="1F3864" w:themeColor="accent5" w:themeShade="80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(</w:t>
      </w:r>
      <w:proofErr w:type="spellStart"/>
      <w:r w:rsidRPr="003B26D0">
        <w:rPr>
          <w:rFonts w:ascii="Times New Roman" w:hAnsi="Times New Roman" w:cs="Times New Roman"/>
          <w:sz w:val="27"/>
          <w:szCs w:val="27"/>
        </w:rPr>
        <w:t>вендингового</w:t>
      </w:r>
      <w:proofErr w:type="spellEnd"/>
      <w:r w:rsidRPr="003B26D0">
        <w:rPr>
          <w:rFonts w:ascii="Times New Roman" w:hAnsi="Times New Roman" w:cs="Times New Roman"/>
          <w:sz w:val="27"/>
          <w:szCs w:val="27"/>
        </w:rPr>
        <w:t xml:space="preserve"> оборудования) и </w:t>
      </w:r>
      <w:r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>дозатор</w:t>
      </w:r>
      <w:r w:rsidR="0034463C"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>ы</w:t>
      </w:r>
      <w:r w:rsidRPr="00715593">
        <w:rPr>
          <w:rFonts w:ascii="Times New Roman" w:hAnsi="Times New Roman" w:cs="Times New Roman"/>
          <w:b/>
          <w:color w:val="1F3864" w:themeColor="accent5" w:themeShade="80"/>
          <w:sz w:val="27"/>
          <w:szCs w:val="27"/>
        </w:rPr>
        <w:t xml:space="preserve"> для выдачи СИЗ и смывающих средств</w:t>
      </w:r>
      <w:r w:rsidRPr="00715593">
        <w:rPr>
          <w:rFonts w:ascii="Times New Roman" w:hAnsi="Times New Roman" w:cs="Times New Roman"/>
          <w:color w:val="1F3864" w:themeColor="accent5" w:themeShade="80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</w:t>
      </w:r>
      <w:r w:rsidRPr="00715593">
        <w:rPr>
          <w:b/>
          <w:color w:val="1F3864" w:themeColor="accent5" w:themeShade="80"/>
          <w:spacing w:val="-2"/>
          <w:sz w:val="27"/>
          <w:szCs w:val="27"/>
        </w:rPr>
        <w:t xml:space="preserve">дополнен </w:t>
      </w:r>
      <w:r w:rsidR="004A1B29" w:rsidRPr="00715593">
        <w:rPr>
          <w:b/>
          <w:color w:val="1F3864" w:themeColor="accent5" w:themeShade="80"/>
          <w:spacing w:val="-2"/>
          <w:sz w:val="27"/>
          <w:szCs w:val="27"/>
        </w:rPr>
        <w:t xml:space="preserve">перечнем </w:t>
      </w:r>
      <w:r w:rsidRPr="00715593">
        <w:rPr>
          <w:b/>
          <w:color w:val="1F3864" w:themeColor="accent5" w:themeShade="80"/>
          <w:spacing w:val="-2"/>
          <w:sz w:val="27"/>
          <w:szCs w:val="27"/>
        </w:rPr>
        <w:t>документ</w:t>
      </w:r>
      <w:r w:rsidR="004A1B29" w:rsidRPr="00715593">
        <w:rPr>
          <w:b/>
          <w:color w:val="1F3864" w:themeColor="accent5" w:themeShade="80"/>
          <w:spacing w:val="-2"/>
          <w:sz w:val="27"/>
          <w:szCs w:val="27"/>
        </w:rPr>
        <w:t>ов</w:t>
      </w:r>
      <w:r w:rsidRPr="00715593">
        <w:rPr>
          <w:color w:val="1F3864" w:themeColor="accent5" w:themeShade="80"/>
          <w:spacing w:val="-2"/>
          <w:sz w:val="27"/>
          <w:szCs w:val="27"/>
        </w:rPr>
        <w:t xml:space="preserve"> </w:t>
      </w:r>
      <w:r w:rsidRPr="003B26D0">
        <w:rPr>
          <w:spacing w:val="-2"/>
          <w:sz w:val="27"/>
          <w:szCs w:val="27"/>
        </w:rPr>
        <w:t>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</w:t>
      </w:r>
      <w:r w:rsidR="004A1B29" w:rsidRPr="00715593">
        <w:rPr>
          <w:b/>
          <w:color w:val="1F3864" w:themeColor="accent5" w:themeShade="80"/>
          <w:spacing w:val="-2"/>
          <w:sz w:val="27"/>
          <w:szCs w:val="27"/>
        </w:rPr>
        <w:t>обосновывающих и подтверждающих необходимость приобретения</w:t>
      </w:r>
      <w:r w:rsidR="004A1B29" w:rsidRPr="00715593">
        <w:rPr>
          <w:color w:val="1F3864" w:themeColor="accent5" w:themeShade="80"/>
          <w:spacing w:val="-2"/>
          <w:sz w:val="27"/>
          <w:szCs w:val="27"/>
        </w:rPr>
        <w:t xml:space="preserve">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715593">
        <w:rPr>
          <w:b/>
          <w:color w:val="1F3864" w:themeColor="accent5" w:themeShade="80"/>
          <w:spacing w:val="-2"/>
          <w:sz w:val="27"/>
          <w:szCs w:val="27"/>
        </w:rPr>
        <w:t>содержащи</w:t>
      </w:r>
      <w:r w:rsidR="00B93646" w:rsidRPr="00715593">
        <w:rPr>
          <w:b/>
          <w:color w:val="1F3864" w:themeColor="accent5" w:themeShade="80"/>
          <w:spacing w:val="-2"/>
          <w:sz w:val="27"/>
          <w:szCs w:val="27"/>
        </w:rPr>
        <w:t>х</w:t>
      </w:r>
      <w:r w:rsidR="00D70032" w:rsidRPr="00715593">
        <w:rPr>
          <w:b/>
          <w:color w:val="1F3864" w:themeColor="accent5" w:themeShade="80"/>
          <w:spacing w:val="-2"/>
          <w:sz w:val="27"/>
          <w:szCs w:val="27"/>
        </w:rPr>
        <w:t xml:space="preserve"> нормы</w:t>
      </w:r>
      <w:r w:rsidR="00D70032" w:rsidRPr="003B26D0">
        <w:rPr>
          <w:spacing w:val="-2"/>
          <w:sz w:val="27"/>
          <w:szCs w:val="27"/>
        </w:rPr>
        <w:t xml:space="preserve">, обязывающие применять приобретаемое оборудование непосредственно </w:t>
      </w:r>
      <w:r w:rsidR="00D70032" w:rsidRPr="00715593">
        <w:rPr>
          <w:b/>
          <w:color w:val="1F3864" w:themeColor="accent5" w:themeShade="80"/>
          <w:spacing w:val="-2"/>
          <w:sz w:val="27"/>
          <w:szCs w:val="27"/>
        </w:rPr>
        <w:t>для выдачи СИЗ и смывающих средств</w:t>
      </w:r>
      <w:r w:rsidR="00D70032" w:rsidRPr="003B26D0">
        <w:rPr>
          <w:spacing w:val="-2"/>
          <w:sz w:val="27"/>
          <w:szCs w:val="27"/>
        </w:rPr>
        <w:t>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</w:t>
      </w:r>
      <w:r w:rsidR="00667A7F" w:rsidRPr="00715593">
        <w:rPr>
          <w:b/>
          <w:color w:val="1F3864" w:themeColor="accent5" w:themeShade="80"/>
          <w:spacing w:val="-2"/>
          <w:sz w:val="27"/>
          <w:szCs w:val="27"/>
        </w:rPr>
        <w:t xml:space="preserve">документами </w:t>
      </w:r>
      <w:r w:rsidR="00B76567" w:rsidRPr="00715593">
        <w:rPr>
          <w:b/>
          <w:color w:val="1F3864" w:themeColor="accent5" w:themeShade="80"/>
          <w:spacing w:val="-2"/>
          <w:sz w:val="27"/>
          <w:szCs w:val="27"/>
        </w:rPr>
        <w:br/>
      </w:r>
      <w:r w:rsidR="00667A7F" w:rsidRPr="00715593">
        <w:rPr>
          <w:b/>
          <w:color w:val="1F3864" w:themeColor="accent5" w:themeShade="80"/>
          <w:spacing w:val="-2"/>
          <w:sz w:val="27"/>
          <w:szCs w:val="27"/>
        </w:rPr>
        <w:t>могут являться положение о выдач</w:t>
      </w:r>
      <w:r w:rsidR="00B93646" w:rsidRPr="00715593">
        <w:rPr>
          <w:b/>
          <w:color w:val="1F3864" w:themeColor="accent5" w:themeShade="80"/>
          <w:spacing w:val="-2"/>
          <w:sz w:val="27"/>
          <w:szCs w:val="27"/>
        </w:rPr>
        <w:t>е</w:t>
      </w:r>
      <w:r w:rsidR="00667A7F" w:rsidRPr="00715593">
        <w:rPr>
          <w:b/>
          <w:color w:val="1F3864" w:themeColor="accent5" w:themeShade="80"/>
          <w:spacing w:val="-2"/>
          <w:sz w:val="27"/>
          <w:szCs w:val="27"/>
        </w:rPr>
        <w:t xml:space="preserve"> СИЗ и смывающих средств, руководство </w:t>
      </w:r>
      <w:r w:rsidR="00B76567" w:rsidRPr="00715593">
        <w:rPr>
          <w:b/>
          <w:color w:val="1F3864" w:themeColor="accent5" w:themeShade="80"/>
          <w:spacing w:val="-2"/>
          <w:sz w:val="27"/>
          <w:szCs w:val="27"/>
        </w:rPr>
        <w:br/>
      </w:r>
      <w:r w:rsidR="00667A7F" w:rsidRPr="00715593">
        <w:rPr>
          <w:b/>
          <w:color w:val="1F3864" w:themeColor="accent5" w:themeShade="80"/>
          <w:spacing w:val="-2"/>
          <w:sz w:val="27"/>
          <w:szCs w:val="27"/>
        </w:rPr>
        <w:t>по эксплуатации, сертификаты соответствия на приобретенное оборудования и другие</w:t>
      </w:r>
      <w:r w:rsidR="00667A7F" w:rsidRPr="003B26D0">
        <w:rPr>
          <w:spacing w:val="-2"/>
          <w:sz w:val="27"/>
          <w:szCs w:val="27"/>
        </w:rPr>
        <w:t>.</w:t>
      </w:r>
    </w:p>
    <w:p w:rsidR="00D70032" w:rsidRPr="003B26D0" w:rsidRDefault="00D70032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 xml:space="preserve">по </w:t>
      </w:r>
      <w:r w:rsidR="00B5052D"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>стоимости санаторно-курортной путевки.</w:t>
      </w:r>
      <w:r w:rsidR="00B5052D" w:rsidRPr="003B26D0">
        <w:rPr>
          <w:spacing w:val="-2"/>
          <w:sz w:val="27"/>
          <w:szCs w:val="27"/>
          <w:lang w:eastAsia="ru-RU"/>
        </w:rPr>
        <w:t xml:space="preserve">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>в размере, не превышающем максимальную стоимость путевки</w:t>
      </w:r>
      <w:r w:rsidR="00771186" w:rsidRPr="003B26D0">
        <w:rPr>
          <w:spacing w:val="-2"/>
          <w:sz w:val="27"/>
          <w:szCs w:val="27"/>
          <w:lang w:eastAsia="ru-RU"/>
        </w:rPr>
        <w:t xml:space="preserve">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 xml:space="preserve">На </w:t>
      </w:r>
      <w:r w:rsidR="00311A93"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 xml:space="preserve">2025 </w:t>
      </w:r>
      <w:r w:rsidR="00311A93" w:rsidRPr="005D7632">
        <w:rPr>
          <w:spacing w:val="-2"/>
          <w:sz w:val="27"/>
          <w:szCs w:val="27"/>
          <w:lang w:eastAsia="ru-RU"/>
        </w:rPr>
        <w:t>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</w:t>
      </w:r>
      <w:r w:rsidR="00B5052D"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 xml:space="preserve">14 230,41 </w:t>
      </w:r>
      <w:r w:rsidR="00B5052D" w:rsidRPr="005D7632">
        <w:rPr>
          <w:spacing w:val="-2"/>
          <w:sz w:val="27"/>
          <w:szCs w:val="27"/>
          <w:lang w:eastAsia="ru-RU"/>
        </w:rPr>
        <w:t>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</w:t>
      </w:r>
      <w:r w:rsidR="00771186"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 xml:space="preserve">ежегодная индексация </w:t>
      </w:r>
      <w:r w:rsidR="00B5052D" w:rsidRPr="00715593">
        <w:rPr>
          <w:b/>
          <w:color w:val="1F3864" w:themeColor="accent5" w:themeShade="80"/>
          <w:spacing w:val="-2"/>
          <w:sz w:val="27"/>
          <w:szCs w:val="27"/>
          <w:lang w:eastAsia="ru-RU"/>
        </w:rPr>
        <w:t xml:space="preserve">стоимости </w:t>
      </w:r>
      <w:r w:rsidR="00B5052D" w:rsidRPr="003B26D0">
        <w:rPr>
          <w:spacing w:val="-2"/>
          <w:sz w:val="27"/>
          <w:szCs w:val="27"/>
          <w:lang w:eastAsia="ru-RU"/>
        </w:rPr>
        <w:t xml:space="preserve">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715593">
        <w:rPr>
          <w:b/>
          <w:color w:val="1F3864" w:themeColor="accent5" w:themeShade="80"/>
          <w:spacing w:val="-2"/>
          <w:sz w:val="27"/>
          <w:szCs w:val="27"/>
        </w:rPr>
        <w:t>Расширена</w:t>
      </w:r>
      <w:r w:rsidR="00236AC7" w:rsidRPr="00715593">
        <w:rPr>
          <w:b/>
          <w:color w:val="1F3864" w:themeColor="accent5" w:themeShade="80"/>
          <w:spacing w:val="-2"/>
          <w:sz w:val="27"/>
          <w:szCs w:val="27"/>
        </w:rPr>
        <w:t xml:space="preserve"> </w:t>
      </w:r>
      <w:r w:rsidRPr="00715593">
        <w:rPr>
          <w:rFonts w:eastAsiaTheme="minorHAnsi"/>
          <w:b/>
          <w:color w:val="1F3864" w:themeColor="accent5" w:themeShade="80"/>
          <w:sz w:val="27"/>
          <w:szCs w:val="27"/>
        </w:rPr>
        <w:t xml:space="preserve">область </w:t>
      </w:r>
      <w:r w:rsidRPr="003B26D0">
        <w:rPr>
          <w:rFonts w:eastAsiaTheme="minorHAnsi"/>
          <w:sz w:val="27"/>
          <w:szCs w:val="27"/>
        </w:rPr>
        <w:t>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715593">
        <w:rPr>
          <w:b/>
          <w:color w:val="1F3864" w:themeColor="accent5" w:themeShade="80"/>
          <w:spacing w:val="-2"/>
          <w:sz w:val="27"/>
          <w:szCs w:val="27"/>
        </w:rPr>
        <w:t>медицинских изделий</w:t>
      </w:r>
      <w:r w:rsidR="00236AC7" w:rsidRPr="003B26D0">
        <w:rPr>
          <w:spacing w:val="-2"/>
          <w:sz w:val="27"/>
          <w:szCs w:val="27"/>
        </w:rPr>
        <w:t xml:space="preserve">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 xml:space="preserve">обязательные </w:t>
      </w:r>
      <w:proofErr w:type="spellStart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>предсменные</w:t>
      </w:r>
      <w:proofErr w:type="spellEnd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 xml:space="preserve"> (</w:t>
      </w:r>
      <w:proofErr w:type="spellStart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>послесменные</w:t>
      </w:r>
      <w:proofErr w:type="spellEnd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 xml:space="preserve">) и (или) </w:t>
      </w:r>
      <w:proofErr w:type="spellStart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>предрейсовые</w:t>
      </w:r>
      <w:proofErr w:type="spellEnd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 xml:space="preserve"> (</w:t>
      </w:r>
      <w:proofErr w:type="spellStart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>послерейсовые</w:t>
      </w:r>
      <w:proofErr w:type="spellEnd"/>
      <w:r w:rsidR="00236AC7" w:rsidRPr="00715593">
        <w:rPr>
          <w:rFonts w:eastAsiaTheme="minorHAnsi"/>
          <w:b/>
          <w:color w:val="1F3864" w:themeColor="accent5" w:themeShade="80"/>
          <w:sz w:val="27"/>
          <w:szCs w:val="27"/>
        </w:rPr>
        <w:t>) медицинские осмотр</w:t>
      </w:r>
      <w:r w:rsidR="00236AC7" w:rsidRPr="003B26D0">
        <w:rPr>
          <w:rFonts w:eastAsiaTheme="minorHAnsi"/>
          <w:sz w:val="27"/>
          <w:szCs w:val="27"/>
        </w:rPr>
        <w:t>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Так в рамках мероприятия, предусмотренного подпунктом «з» пункта 2 Правил, страхователями могут приобретаться </w:t>
      </w:r>
      <w:r w:rsidRPr="00715593">
        <w:rPr>
          <w:rFonts w:eastAsiaTheme="minorHAnsi"/>
          <w:b/>
          <w:color w:val="1F3864" w:themeColor="accent5" w:themeShade="80"/>
          <w:sz w:val="27"/>
          <w:szCs w:val="27"/>
        </w:rPr>
        <w:t>медицинские изделия</w:t>
      </w:r>
      <w:r w:rsidRPr="003B26D0">
        <w:rPr>
          <w:rFonts w:eastAsiaTheme="minorHAnsi"/>
          <w:sz w:val="27"/>
          <w:szCs w:val="27"/>
        </w:rPr>
        <w:t xml:space="preserve">, в том числе для </w:t>
      </w:r>
      <w:r w:rsidRPr="00715593">
        <w:rPr>
          <w:rFonts w:eastAsiaTheme="minorHAnsi"/>
          <w:b/>
          <w:color w:val="1F3864" w:themeColor="accent5" w:themeShade="80"/>
          <w:sz w:val="27"/>
          <w:szCs w:val="27"/>
        </w:rPr>
        <w:t>измерения артериального давления и пульса</w:t>
      </w:r>
      <w:r w:rsidRPr="003B26D0">
        <w:rPr>
          <w:rFonts w:eastAsiaTheme="minorHAnsi"/>
          <w:sz w:val="27"/>
          <w:szCs w:val="27"/>
        </w:rPr>
        <w:t>.</w:t>
      </w:r>
    </w:p>
    <w:p w:rsidR="00236AC7" w:rsidRPr="003B26D0" w:rsidRDefault="0077748B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</w:t>
      </w:r>
      <w:r w:rsidRPr="00715593">
        <w:rPr>
          <w:b/>
          <w:color w:val="1F3864" w:themeColor="accent5" w:themeShade="80"/>
          <w:sz w:val="27"/>
          <w:szCs w:val="27"/>
        </w:rPr>
        <w:t xml:space="preserve">организации и проведения </w:t>
      </w:r>
      <w:proofErr w:type="spellStart"/>
      <w:r w:rsidRPr="00715593">
        <w:rPr>
          <w:b/>
          <w:color w:val="1F3864" w:themeColor="accent5" w:themeShade="80"/>
          <w:sz w:val="27"/>
          <w:szCs w:val="27"/>
        </w:rPr>
        <w:t>предсменных</w:t>
      </w:r>
      <w:proofErr w:type="spellEnd"/>
      <w:r w:rsidRPr="00715593">
        <w:rPr>
          <w:color w:val="1F3864" w:themeColor="accent5" w:themeShade="80"/>
          <w:sz w:val="27"/>
          <w:szCs w:val="27"/>
        </w:rPr>
        <w:t xml:space="preserve"> </w:t>
      </w:r>
      <w:r w:rsidRPr="003B26D0">
        <w:rPr>
          <w:sz w:val="27"/>
          <w:szCs w:val="27"/>
        </w:rPr>
        <w:t>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</w:t>
      </w:r>
      <w:r w:rsidRPr="00715593">
        <w:rPr>
          <w:b/>
          <w:color w:val="1F3864" w:themeColor="accent5" w:themeShade="80"/>
          <w:sz w:val="27"/>
          <w:szCs w:val="27"/>
        </w:rPr>
        <w:t>приобретение медицинского оборудования, обеспечивающего автоматизированное дистанционное проведение</w:t>
      </w:r>
      <w:r w:rsidRPr="00715593">
        <w:rPr>
          <w:color w:val="1F3864" w:themeColor="accent5" w:themeShade="80"/>
          <w:sz w:val="27"/>
          <w:szCs w:val="27"/>
        </w:rPr>
        <w:t xml:space="preserve">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>) осмотров, например, КАП «ЭСМО», Терминал аппаратно-программный для медицинских осмотров «</w:t>
      </w:r>
      <w:proofErr w:type="spellStart"/>
      <w:r w:rsidRPr="003B26D0">
        <w:rPr>
          <w:sz w:val="27"/>
          <w:szCs w:val="27"/>
        </w:rPr>
        <w:t>Медикон</w:t>
      </w:r>
      <w:proofErr w:type="spellEnd"/>
      <w:r w:rsidRPr="003B26D0">
        <w:rPr>
          <w:sz w:val="27"/>
          <w:szCs w:val="27"/>
        </w:rPr>
        <w:t>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Все приобретаемые </w:t>
      </w:r>
      <w:r w:rsidRPr="00715593">
        <w:rPr>
          <w:rFonts w:eastAsiaTheme="minorHAnsi"/>
          <w:b/>
          <w:color w:val="1F3864" w:themeColor="accent5" w:themeShade="80"/>
          <w:sz w:val="27"/>
          <w:szCs w:val="27"/>
        </w:rPr>
        <w:t>медицинские изделия и оборудование должны иметь государственную регистрацию</w:t>
      </w:r>
      <w:r w:rsidRPr="003B26D0">
        <w:rPr>
          <w:rFonts w:eastAsiaTheme="minorHAnsi"/>
          <w:sz w:val="27"/>
          <w:szCs w:val="27"/>
        </w:rPr>
        <w:t>.</w:t>
      </w:r>
    </w:p>
    <w:p w:rsidR="00D04BC8" w:rsidRPr="003B26D0" w:rsidRDefault="00D04BC8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75930" w:rsidRDefault="000665D2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b/>
          <w:color w:val="1F3864" w:themeColor="accent5" w:themeShade="80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375930">
        <w:rPr>
          <w:rFonts w:eastAsiaTheme="minorHAnsi"/>
          <w:b/>
          <w:color w:val="1F3864" w:themeColor="accent5" w:themeShade="80"/>
          <w:sz w:val="27"/>
          <w:szCs w:val="27"/>
        </w:rPr>
        <w:t>тахографам</w:t>
      </w:r>
      <w:proofErr w:type="spellEnd"/>
      <w:r w:rsidRPr="00375930">
        <w:rPr>
          <w:rFonts w:eastAsiaTheme="minorHAnsi"/>
          <w:b/>
          <w:color w:val="1F3864" w:themeColor="accent5" w:themeShade="80"/>
          <w:sz w:val="27"/>
          <w:szCs w:val="27"/>
        </w:rPr>
        <w:t xml:space="preserve"> реализовано право страхователя на приобретение блоков СКЗИ </w:t>
      </w:r>
      <w:proofErr w:type="spellStart"/>
      <w:r w:rsidRPr="00375930">
        <w:rPr>
          <w:rFonts w:eastAsiaTheme="minorHAnsi"/>
          <w:b/>
          <w:color w:val="1F3864" w:themeColor="accent5" w:themeShade="80"/>
          <w:sz w:val="27"/>
          <w:szCs w:val="27"/>
        </w:rPr>
        <w:t>тахографа</w:t>
      </w:r>
      <w:proofErr w:type="spellEnd"/>
      <w:r w:rsidRPr="00375930">
        <w:rPr>
          <w:rFonts w:eastAsiaTheme="minorHAnsi"/>
          <w:b/>
          <w:color w:val="1F3864" w:themeColor="accent5" w:themeShade="80"/>
          <w:sz w:val="27"/>
          <w:szCs w:val="27"/>
        </w:rPr>
        <w:t xml:space="preserve"> для </w:t>
      </w:r>
      <w:r w:rsidR="00F33B1F" w:rsidRPr="00375930">
        <w:rPr>
          <w:rFonts w:eastAsiaTheme="minorHAnsi"/>
          <w:b/>
          <w:color w:val="1F3864" w:themeColor="accent5" w:themeShade="80"/>
          <w:sz w:val="27"/>
          <w:szCs w:val="27"/>
        </w:rPr>
        <w:t xml:space="preserve">их </w:t>
      </w:r>
      <w:r w:rsidRPr="00375930">
        <w:rPr>
          <w:rFonts w:eastAsiaTheme="minorHAnsi"/>
          <w:b/>
          <w:color w:val="1F3864" w:themeColor="accent5" w:themeShade="80"/>
          <w:sz w:val="27"/>
          <w:szCs w:val="27"/>
        </w:rPr>
        <w:t>замены</w:t>
      </w:r>
      <w:r w:rsidRPr="003B26D0">
        <w:rPr>
          <w:rFonts w:eastAsiaTheme="minorHAnsi"/>
          <w:sz w:val="27"/>
          <w:szCs w:val="27"/>
        </w:rPr>
        <w:t xml:space="preserve">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</w:t>
      </w:r>
      <w:r w:rsidR="0061459F" w:rsidRPr="00375930">
        <w:rPr>
          <w:rFonts w:eastAsiaTheme="minorHAnsi"/>
          <w:b/>
          <w:color w:val="1F3864" w:themeColor="accent5" w:themeShade="80"/>
          <w:sz w:val="27"/>
          <w:szCs w:val="27"/>
        </w:rPr>
        <w:t>приобретение блоков СКЗИ</w:t>
      </w:r>
      <w:r w:rsidR="0061459F" w:rsidRPr="003B26D0">
        <w:rPr>
          <w:rFonts w:eastAsiaTheme="minorHAnsi"/>
          <w:sz w:val="27"/>
          <w:szCs w:val="27"/>
        </w:rPr>
        <w:t xml:space="preserve">, а </w:t>
      </w:r>
      <w:r w:rsidR="0061459F" w:rsidRPr="00375930">
        <w:rPr>
          <w:rFonts w:eastAsiaTheme="minorHAnsi"/>
          <w:b/>
          <w:color w:val="1F3864" w:themeColor="accent5" w:themeShade="80"/>
          <w:sz w:val="27"/>
          <w:szCs w:val="27"/>
        </w:rPr>
        <w:t xml:space="preserve">не на их установку </w:t>
      </w:r>
      <w:r w:rsidR="00B76567" w:rsidRPr="00375930">
        <w:rPr>
          <w:rFonts w:eastAsiaTheme="minorHAnsi"/>
          <w:b/>
          <w:color w:val="1F3864" w:themeColor="accent5" w:themeShade="80"/>
          <w:sz w:val="27"/>
          <w:szCs w:val="27"/>
        </w:rPr>
        <w:br/>
      </w:r>
      <w:r w:rsidR="0061459F" w:rsidRPr="00375930">
        <w:rPr>
          <w:rFonts w:eastAsiaTheme="minorHAnsi"/>
          <w:b/>
          <w:color w:val="1F3864" w:themeColor="accent5" w:themeShade="80"/>
          <w:sz w:val="27"/>
          <w:szCs w:val="27"/>
        </w:rPr>
        <w:t>и обслуживание.</w:t>
      </w:r>
    </w:p>
    <w:p w:rsidR="000665D2" w:rsidRPr="003B26D0" w:rsidRDefault="000665D2" w:rsidP="00EB2F3D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тахографами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 xml:space="preserve">и контроля работы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тахографов</w:t>
      </w:r>
      <w:proofErr w:type="spellEnd"/>
      <w:r w:rsidR="00F33B1F" w:rsidRPr="003B26D0">
        <w:rPr>
          <w:rFonts w:eastAsiaTheme="minorHAnsi"/>
          <w:sz w:val="27"/>
          <w:szCs w:val="27"/>
        </w:rPr>
        <w:t>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</w:t>
      </w:r>
      <w:r w:rsidRPr="00375930">
        <w:rPr>
          <w:b/>
          <w:color w:val="1F3864" w:themeColor="accent5" w:themeShade="80"/>
          <w:sz w:val="27"/>
          <w:szCs w:val="27"/>
        </w:rPr>
        <w:t>«л»</w:t>
      </w:r>
      <w:r w:rsidRPr="003B26D0">
        <w:rPr>
          <w:sz w:val="27"/>
          <w:szCs w:val="27"/>
        </w:rPr>
        <w:t xml:space="preserve">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</w:t>
      </w:r>
      <w:r w:rsidRPr="00375930">
        <w:rPr>
          <w:b/>
          <w:color w:val="1F3864" w:themeColor="accent5" w:themeShade="80"/>
          <w:sz w:val="27"/>
          <w:szCs w:val="27"/>
        </w:rPr>
        <w:t>добавлено приобретение приборов</w:t>
      </w:r>
      <w:r w:rsidRPr="003B26D0">
        <w:rPr>
          <w:sz w:val="27"/>
          <w:szCs w:val="27"/>
        </w:rPr>
        <w:t xml:space="preserve">, обеспечивающих </w:t>
      </w:r>
      <w:r w:rsidRPr="00375930">
        <w:rPr>
          <w:b/>
          <w:color w:val="1F3864" w:themeColor="accent5" w:themeShade="80"/>
          <w:sz w:val="27"/>
          <w:szCs w:val="27"/>
        </w:rPr>
        <w:t>дистанционный контроль, видео-, аудио или иную ф</w:t>
      </w:r>
      <w:r w:rsidR="00FC0889" w:rsidRPr="00375930">
        <w:rPr>
          <w:b/>
          <w:color w:val="1F3864" w:themeColor="accent5" w:themeShade="80"/>
          <w:sz w:val="27"/>
          <w:szCs w:val="27"/>
        </w:rPr>
        <w:t>иксации</w:t>
      </w:r>
      <w:r w:rsidR="00FC0889">
        <w:rPr>
          <w:sz w:val="27"/>
          <w:szCs w:val="27"/>
        </w:rPr>
        <w:t>.</w:t>
      </w:r>
    </w:p>
    <w:p w:rsidR="00694C44" w:rsidRPr="003B26D0" w:rsidRDefault="000836E9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</w:t>
      </w:r>
      <w:proofErr w:type="spellStart"/>
      <w:r w:rsidR="00872BD1" w:rsidRPr="003B26D0">
        <w:rPr>
          <w:sz w:val="27"/>
          <w:szCs w:val="27"/>
        </w:rPr>
        <w:t>аудиофиксации</w:t>
      </w:r>
      <w:proofErr w:type="spellEnd"/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Согласно </w:t>
      </w:r>
      <w:proofErr w:type="gramStart"/>
      <w:r w:rsidRPr="003B26D0">
        <w:rPr>
          <w:sz w:val="27"/>
          <w:szCs w:val="27"/>
        </w:rPr>
        <w:t>изменениям</w:t>
      </w:r>
      <w:proofErr w:type="gramEnd"/>
      <w:r w:rsidRPr="003B26D0">
        <w:rPr>
          <w:sz w:val="27"/>
          <w:szCs w:val="27"/>
        </w:rPr>
        <w:t xml:space="preserve"> в подпункт</w:t>
      </w:r>
      <w:r w:rsidR="0076422B">
        <w:rPr>
          <w:sz w:val="27"/>
          <w:szCs w:val="27"/>
        </w:rPr>
        <w:t>е</w:t>
      </w:r>
      <w:r w:rsidRPr="003B26D0">
        <w:rPr>
          <w:sz w:val="27"/>
          <w:szCs w:val="27"/>
        </w:rPr>
        <w:t xml:space="preserve"> </w:t>
      </w:r>
      <w:r w:rsidRPr="00375930">
        <w:rPr>
          <w:b/>
          <w:color w:val="1F3864" w:themeColor="accent5" w:themeShade="80"/>
          <w:sz w:val="27"/>
          <w:szCs w:val="27"/>
        </w:rPr>
        <w:t>«м»</w:t>
      </w:r>
      <w:r w:rsidRPr="003B26D0">
        <w:rPr>
          <w:sz w:val="27"/>
          <w:szCs w:val="27"/>
        </w:rPr>
        <w:t xml:space="preserve"> п</w:t>
      </w:r>
      <w:bookmarkStart w:id="0" w:name="_GoBack"/>
      <w:bookmarkEnd w:id="0"/>
      <w:r w:rsidRPr="003B26D0">
        <w:rPr>
          <w:sz w:val="27"/>
          <w:szCs w:val="27"/>
        </w:rPr>
        <w:t xml:space="preserve">ункта 2 Правил страхователь вправе приобретать </w:t>
      </w:r>
      <w:r w:rsidRPr="00375930">
        <w:rPr>
          <w:b/>
          <w:color w:val="1F3864" w:themeColor="accent5" w:themeShade="80"/>
          <w:sz w:val="27"/>
          <w:szCs w:val="27"/>
        </w:rPr>
        <w:t>манекены-тренажеры, обеспечивающие проведение обучения практическим навыкам оказания первой помощи пострадавшим</w:t>
      </w:r>
      <w:r w:rsidRPr="003B26D0">
        <w:rPr>
          <w:sz w:val="27"/>
          <w:szCs w:val="27"/>
        </w:rPr>
        <w:t>.</w:t>
      </w:r>
    </w:p>
    <w:p w:rsidR="00FE7DEF" w:rsidRPr="00375930" w:rsidRDefault="00FE7DEF" w:rsidP="00EB2F3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b/>
          <w:color w:val="1F3864" w:themeColor="accent5" w:themeShade="80"/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</w:t>
      </w:r>
      <w:r w:rsidRPr="00375930">
        <w:rPr>
          <w:b/>
          <w:color w:val="1F3864" w:themeColor="accent5" w:themeShade="80"/>
          <w:sz w:val="27"/>
          <w:szCs w:val="27"/>
        </w:rPr>
        <w:t xml:space="preserve">«о» пункта 2 Правил. </w:t>
      </w:r>
    </w:p>
    <w:p w:rsidR="003B26D0" w:rsidRPr="00375930" w:rsidRDefault="003B26D0" w:rsidP="00EB2F3D">
      <w:pPr>
        <w:autoSpaceDE w:val="0"/>
        <w:autoSpaceDN w:val="0"/>
        <w:adjustRightInd w:val="0"/>
        <w:spacing w:line="312" w:lineRule="auto"/>
        <w:ind w:firstLine="709"/>
        <w:jc w:val="both"/>
        <w:rPr>
          <w:b/>
          <w:color w:val="1F3864" w:themeColor="accent5" w:themeShade="80"/>
          <w:sz w:val="27"/>
          <w:szCs w:val="27"/>
        </w:rPr>
      </w:pPr>
      <w:r w:rsidRPr="00375930">
        <w:rPr>
          <w:b/>
          <w:color w:val="1F3864" w:themeColor="accent5" w:themeShade="80"/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75930" w:rsidSect="006E73A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F3F" w:rsidRDefault="00092F3F" w:rsidP="00B10ABB">
      <w:r>
        <w:separator/>
      </w:r>
    </w:p>
  </w:endnote>
  <w:endnote w:type="continuationSeparator" w:id="0">
    <w:p w:rsidR="00092F3F" w:rsidRDefault="00092F3F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F3F" w:rsidRDefault="00092F3F" w:rsidP="00B10ABB">
      <w:r>
        <w:separator/>
      </w:r>
    </w:p>
  </w:footnote>
  <w:footnote w:type="continuationSeparator" w:id="0">
    <w:p w:rsidR="00092F3F" w:rsidRDefault="00092F3F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76422B">
          <w:rPr>
            <w:noProof/>
            <w:sz w:val="28"/>
            <w:szCs w:val="28"/>
          </w:rPr>
          <w:t>4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35CCC"/>
    <w:rsid w:val="000665D2"/>
    <w:rsid w:val="000836E9"/>
    <w:rsid w:val="00092F3F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300CA0"/>
    <w:rsid w:val="00302EA2"/>
    <w:rsid w:val="00311A93"/>
    <w:rsid w:val="003151D7"/>
    <w:rsid w:val="003252B3"/>
    <w:rsid w:val="0034463C"/>
    <w:rsid w:val="0035181E"/>
    <w:rsid w:val="0037451A"/>
    <w:rsid w:val="00375930"/>
    <w:rsid w:val="00376FEC"/>
    <w:rsid w:val="00387EA3"/>
    <w:rsid w:val="003A02E2"/>
    <w:rsid w:val="003B26D0"/>
    <w:rsid w:val="003B52FA"/>
    <w:rsid w:val="003C36F5"/>
    <w:rsid w:val="003F15FA"/>
    <w:rsid w:val="003F603F"/>
    <w:rsid w:val="004118A4"/>
    <w:rsid w:val="004232E3"/>
    <w:rsid w:val="004247C7"/>
    <w:rsid w:val="004433F2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D7632"/>
    <w:rsid w:val="005F31A2"/>
    <w:rsid w:val="005F703C"/>
    <w:rsid w:val="0061459F"/>
    <w:rsid w:val="00631A6B"/>
    <w:rsid w:val="00643CF6"/>
    <w:rsid w:val="00667A7F"/>
    <w:rsid w:val="006831AE"/>
    <w:rsid w:val="00694C44"/>
    <w:rsid w:val="006A4709"/>
    <w:rsid w:val="006E3ACB"/>
    <w:rsid w:val="006E73AD"/>
    <w:rsid w:val="006F01FD"/>
    <w:rsid w:val="00715593"/>
    <w:rsid w:val="00755340"/>
    <w:rsid w:val="0075541A"/>
    <w:rsid w:val="00756B42"/>
    <w:rsid w:val="00763C1F"/>
    <w:rsid w:val="0076422B"/>
    <w:rsid w:val="0076595F"/>
    <w:rsid w:val="00771186"/>
    <w:rsid w:val="0077748B"/>
    <w:rsid w:val="007803B8"/>
    <w:rsid w:val="0078304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6376F"/>
    <w:rsid w:val="00984C63"/>
    <w:rsid w:val="009B40C5"/>
    <w:rsid w:val="009D20F2"/>
    <w:rsid w:val="009E1843"/>
    <w:rsid w:val="009E47FA"/>
    <w:rsid w:val="009F2EB4"/>
    <w:rsid w:val="009F4426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828D5"/>
    <w:rsid w:val="00AA1592"/>
    <w:rsid w:val="00AB7872"/>
    <w:rsid w:val="00AE0017"/>
    <w:rsid w:val="00AE0410"/>
    <w:rsid w:val="00AF061C"/>
    <w:rsid w:val="00AF2A5A"/>
    <w:rsid w:val="00B0496B"/>
    <w:rsid w:val="00B06A5C"/>
    <w:rsid w:val="00B10ABB"/>
    <w:rsid w:val="00B16B44"/>
    <w:rsid w:val="00B5052D"/>
    <w:rsid w:val="00B541B9"/>
    <w:rsid w:val="00B65A4F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1ED1"/>
    <w:rsid w:val="00DC5173"/>
    <w:rsid w:val="00DE4487"/>
    <w:rsid w:val="00E65FD5"/>
    <w:rsid w:val="00E97970"/>
    <w:rsid w:val="00EA7B65"/>
    <w:rsid w:val="00EB2F3D"/>
    <w:rsid w:val="00EE1182"/>
    <w:rsid w:val="00EE4BB0"/>
    <w:rsid w:val="00EE7B2C"/>
    <w:rsid w:val="00F1061E"/>
    <w:rsid w:val="00F33B1F"/>
    <w:rsid w:val="00F43D7D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9B0C3-3456-45AB-BB58-A78404BD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Фролова Ольга Алексеевна</dc:creator>
  <cp:lastModifiedBy>Маскальчук Алёна Павловна</cp:lastModifiedBy>
  <cp:revision>3</cp:revision>
  <cp:lastPrinted>2025-12-19T07:53:00Z</cp:lastPrinted>
  <dcterms:created xsi:type="dcterms:W3CDTF">2026-01-13T12:34:00Z</dcterms:created>
  <dcterms:modified xsi:type="dcterms:W3CDTF">2026-01-15T12:59:00Z</dcterms:modified>
</cp:coreProperties>
</file>