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"/>
        </w:rPr>
      </w:pPr>
    </w:p>
    <w:p>
      <w:pPr>
        <w:rPr>
          <w:sz w:val="2"/>
        </w:rPr>
      </w:pPr>
    </w:p>
    <w:p>
      <w:pPr>
        <w:rPr>
          <w:sz w:val="2"/>
        </w:rPr>
      </w:pPr>
    </w:p>
    <w:p>
      <w:pPr>
        <w:rPr>
          <w:sz w:val="2"/>
        </w:rPr>
      </w:pPr>
    </w:p>
    <w:p>
      <w:pPr>
        <w:rPr>
          <w:sz w:val="2"/>
        </w:rPr>
      </w:pPr>
    </w:p>
    <w:p>
      <w:pPr>
        <w:tabs>
          <w:tab w:val="left" w:pos="5245"/>
        </w:tabs>
        <w:ind w:right="594"/>
        <w:rPr>
          <w:sz w:val="2"/>
        </w:rPr>
      </w:pPr>
    </w:p>
    <w:p>
      <w:pPr>
        <w:tabs>
          <w:tab w:val="left" w:pos="5245"/>
        </w:tabs>
        <w:ind w:right="594"/>
        <w:rPr>
          <w:sz w:val="2"/>
        </w:rPr>
      </w:pPr>
    </w:p>
    <w:p>
      <w:pPr>
        <w:tabs>
          <w:tab w:val="left" w:pos="5245"/>
        </w:tabs>
        <w:ind w:right="594"/>
        <w:rPr>
          <w:sz w:val="2"/>
        </w:rPr>
      </w:pPr>
    </w:p>
    <w:p>
      <w:pPr>
        <w:tabs>
          <w:tab w:val="left" w:pos="5245"/>
        </w:tabs>
        <w:ind w:right="594"/>
        <w:rPr>
          <w:sz w:val="2"/>
        </w:rPr>
      </w:pPr>
    </w:p>
    <w:p>
      <w:pPr>
        <w:spacing w:line="288" w:lineRule="auto"/>
        <w:contextualSpacing/>
        <w:jc w:val="center"/>
        <w:rPr>
          <w:sz w:val="26"/>
          <w:szCs w:val="26"/>
        </w:rPr>
      </w:pPr>
    </w:p>
    <w:p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СОГЛАШЕНИЕ № _________</w:t>
      </w:r>
    </w:p>
    <w:p>
      <w:pPr>
        <w:pStyle w:val="af1"/>
        <w:spacing w:after="0"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об организации электронного информационного взаимодействия по представлению документов, необходимых для назначения пенсий</w:t>
      </w:r>
    </w:p>
    <w:p>
      <w:pPr>
        <w:pStyle w:val="af1"/>
        <w:spacing w:after="0" w:line="240" w:lineRule="auto"/>
        <w:jc w:val="center"/>
        <w:rPr>
          <w:b/>
          <w:sz w:val="26"/>
          <w:szCs w:val="26"/>
        </w:rPr>
      </w:pPr>
    </w:p>
    <w:p>
      <w:pPr>
        <w:tabs>
          <w:tab w:val="left" w:pos="709"/>
        </w:tabs>
        <w:spacing w:after="240"/>
        <w:rPr>
          <w:sz w:val="26"/>
          <w:szCs w:val="26"/>
        </w:rPr>
      </w:pPr>
      <w:r>
        <w:rPr>
          <w:sz w:val="26"/>
          <w:szCs w:val="26"/>
        </w:rPr>
        <w:t>г. Санкт - Петербург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«___» _________ 20____ </w:t>
      </w:r>
    </w:p>
    <w:p>
      <w:pPr>
        <w:pStyle w:val="af1"/>
        <w:widowControl w:val="0"/>
        <w:spacing w:line="240" w:lineRule="auto"/>
        <w:ind w:firstLine="709"/>
        <w:jc w:val="both"/>
        <w:rPr>
          <w:color w:val="000000"/>
          <w:spacing w:val="1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Отделение Фонда пенсионного и социального страхования Российской Федерации по Санкт-Петербургу и Ленинградской области</w:t>
      </w:r>
      <w:r>
        <w:rPr>
          <w:color w:val="000000"/>
          <w:spacing w:val="1"/>
          <w:sz w:val="26"/>
          <w:szCs w:val="26"/>
        </w:rPr>
        <w:t xml:space="preserve"> в лице </w:t>
      </w:r>
      <w:proofErr w:type="spellStart"/>
      <w:r>
        <w:rPr>
          <w:color w:val="000000"/>
          <w:spacing w:val="1"/>
          <w:sz w:val="26"/>
          <w:szCs w:val="26"/>
        </w:rPr>
        <w:t>и.о</w:t>
      </w:r>
      <w:proofErr w:type="spellEnd"/>
      <w:r>
        <w:rPr>
          <w:color w:val="000000"/>
          <w:spacing w:val="1"/>
          <w:sz w:val="26"/>
          <w:szCs w:val="26"/>
        </w:rPr>
        <w:t>. заместителя Управляющего Отделением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Стренго</w:t>
      </w:r>
      <w:proofErr w:type="spellEnd"/>
      <w:r>
        <w:rPr>
          <w:color w:val="000000"/>
          <w:sz w:val="26"/>
          <w:szCs w:val="26"/>
        </w:rPr>
        <w:t xml:space="preserve"> Марии Алексеевны</w:t>
      </w:r>
      <w:r>
        <w:rPr>
          <w:color w:val="000000"/>
          <w:spacing w:val="1"/>
          <w:sz w:val="26"/>
          <w:szCs w:val="26"/>
        </w:rPr>
        <w:t>,</w:t>
      </w:r>
      <w:r>
        <w:rPr>
          <w:color w:val="000000"/>
          <w:spacing w:val="-2"/>
          <w:sz w:val="26"/>
          <w:szCs w:val="26"/>
        </w:rPr>
        <w:t xml:space="preserve"> действующей на основании </w:t>
      </w:r>
      <w:r>
        <w:rPr>
          <w:color w:val="000000"/>
          <w:spacing w:val="-5"/>
          <w:sz w:val="26"/>
          <w:szCs w:val="26"/>
        </w:rPr>
        <w:t xml:space="preserve">Приказа Отделения Фонда пенсионного и социального страхования Российской Федерации по Санкт-Петербургу и Ленинградской области от 27.05.2026  </w:t>
      </w:r>
      <w:r>
        <w:rPr>
          <w:color w:val="000000"/>
          <w:spacing w:val="-5"/>
          <w:sz w:val="26"/>
          <w:szCs w:val="26"/>
        </w:rPr>
        <w:br/>
        <w:t xml:space="preserve">№ 63-к, именуемое в дальнейшем Отделение, с одной </w:t>
      </w:r>
      <w:r>
        <w:rPr>
          <w:color w:val="000000"/>
          <w:spacing w:val="1"/>
          <w:sz w:val="26"/>
          <w:szCs w:val="26"/>
        </w:rPr>
        <w:t>стороны и</w:t>
      </w:r>
      <w:bookmarkStart w:id="0" w:name="_GoBack"/>
      <w:bookmarkEnd w:id="0"/>
      <w:proofErr w:type="gramEnd"/>
    </w:p>
    <w:p>
      <w:pPr>
        <w:pStyle w:val="af1"/>
        <w:widowControl w:val="0"/>
        <w:spacing w:line="240" w:lineRule="auto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_________________________________________________________________________</w:t>
      </w:r>
    </w:p>
    <w:p>
      <w:pPr>
        <w:pStyle w:val="af1"/>
        <w:widowControl w:val="0"/>
        <w:spacing w:line="240" w:lineRule="auto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_________________________________________________________________________,   </w:t>
      </w:r>
      <w:r>
        <w:rPr>
          <w:color w:val="000000"/>
          <w:spacing w:val="1"/>
          <w:sz w:val="26"/>
          <w:szCs w:val="26"/>
        </w:rPr>
        <w:tab/>
        <w:t xml:space="preserve"> </w:t>
      </w:r>
      <w:r>
        <w:rPr>
          <w:color w:val="000000"/>
          <w:spacing w:val="1"/>
          <w:sz w:val="26"/>
          <w:szCs w:val="26"/>
          <w:vertAlign w:val="subscript"/>
        </w:rPr>
        <w:t>(указывается полное наименование страхователя и регистрационный номер в территориальном органе СФР)</w:t>
      </w:r>
      <w:r>
        <w:rPr>
          <w:color w:val="000000"/>
          <w:spacing w:val="1"/>
          <w:sz w:val="26"/>
          <w:szCs w:val="26"/>
        </w:rPr>
        <w:t xml:space="preserve"> </w:t>
      </w:r>
    </w:p>
    <w:p>
      <w:pPr>
        <w:pStyle w:val="af1"/>
        <w:widowControl w:val="0"/>
        <w:spacing w:line="240" w:lineRule="auto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 лице _________________________________________________________________, действующего на </w:t>
      </w:r>
      <w:r>
        <w:rPr>
          <w:color w:val="000000"/>
          <w:spacing w:val="1"/>
          <w:sz w:val="26"/>
          <w:szCs w:val="26"/>
        </w:rPr>
        <w:t>основании ____________________________________, именуемый в дальнейшем Абонент системы</w:t>
      </w:r>
      <w:r>
        <w:rPr>
          <w:color w:val="000000"/>
          <w:spacing w:val="-4"/>
          <w:sz w:val="26"/>
          <w:szCs w:val="26"/>
        </w:rPr>
        <w:t>, с другой стороны, совместно именуемые Стороны,</w:t>
      </w:r>
      <w:r>
        <w:rPr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 xml:space="preserve">в целях </w:t>
      </w:r>
      <w:r>
        <w:rPr>
          <w:sz w:val="26"/>
          <w:szCs w:val="26"/>
        </w:rPr>
        <w:t>электронного информационного взаимодействия по</w:t>
      </w:r>
      <w:r>
        <w:rPr>
          <w:color w:val="000000"/>
          <w:spacing w:val="-4"/>
          <w:sz w:val="26"/>
          <w:szCs w:val="26"/>
        </w:rPr>
        <w:t xml:space="preserve"> предоставлению документов, необходимых для назначения пенсий и предоставлению заявлений о назначении пенсии, заключили настоящее Соглашение о нижеследующем:</w:t>
      </w:r>
    </w:p>
    <w:p>
      <w:pPr>
        <w:spacing w:before="240" w:after="12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ПРИНЯТЫЕ СОКРАЩЕНИЯ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СКЗИ – средства криптографической защиты информации;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УЦ – удостоверяющий центр;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ЭП – электронная подпись.</w:t>
      </w:r>
    </w:p>
    <w:p>
      <w:pPr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ЦЕЛИ И ЗАДАЧИ СОГЛАШЕНИЯ</w:t>
      </w:r>
    </w:p>
    <w:p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1.1. Целью настоящего Соглашения является обеспечение полноты и достоверности сведений в системе обязательного пенсионного страхования о пенсионных правах застрахованных лиц, состоящих в трудовых отношениях с Абонентом системы (далее – работники).</w:t>
      </w:r>
    </w:p>
    <w:p>
      <w:pPr>
        <w:pStyle w:val="ae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Задачами настоящего Соглашения являются:</w:t>
      </w:r>
    </w:p>
    <w:p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заблаговременная подготовка документов для назначения пенсии;</w:t>
      </w:r>
    </w:p>
    <w:p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своевременное и правильное назначение пенсии;</w:t>
      </w:r>
    </w:p>
    <w:p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права застрахованного лица на обращение за назначением страховой пенсии, накопительной пенсии путем предоставления работодателем соответствующих заявлений и документов для назначения пенсии, в электронном виде по защищенным каналам связи, заверенных усиленной квалифицированной электронной подписью.</w:t>
      </w:r>
    </w:p>
    <w:p>
      <w:pPr>
        <w:tabs>
          <w:tab w:val="left" w:pos="0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ПРЕДМЕТ СОГЛАШЕНИЯ</w:t>
      </w:r>
    </w:p>
    <w:p>
      <w:pPr>
        <w:pStyle w:val="ae"/>
        <w:numPr>
          <w:ilvl w:val="1"/>
          <w:numId w:val="16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Предметом настоящего Соглашения является осуществление обмена</w:t>
      </w:r>
    </w:p>
    <w:p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документами в электронном виде по телекоммуникационным каналам связи.</w:t>
      </w:r>
    </w:p>
    <w:p>
      <w:pPr>
        <w:pStyle w:val="ae"/>
        <w:numPr>
          <w:ilvl w:val="1"/>
          <w:numId w:val="16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Стороны признают, что полученные ими электронные документы, заверенные ЭП, при соблюдении требований Федерального закона от 06.04.2011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№ 63-ФЗ «Об электронной подписи», юридически эквивалентны документам на бумажных носителях, заверенным соответствующими подписями и оттиском печатей Сторон.</w:t>
      </w:r>
    </w:p>
    <w:p>
      <w:pPr>
        <w:pStyle w:val="ae"/>
        <w:numPr>
          <w:ilvl w:val="1"/>
          <w:numId w:val="16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Информационное  взаимодействие Сторон осуществляется в целях  реализации Федерального закона от 28.12.2013 № 400-ФЗ «О страховых пенсиях», Федерального закона от 15.12.2001 № 166-ФЗ «О государственном пенсионном обеспечении в Российской Федерации», Федерального закона от 15.12.2001 № 167-ФЗ «Об обязательном пенсионном страховании в Российской Федерации» и других нормативных правовых актов, регулирующих вопросы пенсионного обеспечения.</w:t>
      </w:r>
    </w:p>
    <w:p>
      <w:pPr>
        <w:pStyle w:val="ae"/>
        <w:numPr>
          <w:ilvl w:val="1"/>
          <w:numId w:val="16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Участники  информационного взаимодействия обеспечивают конфиденциальность и безопасность персональных данных в соответствии с Федеральными законами от 27.07.2006 № 152-ФЗ «О персональных данных» и от 27.07.2006 № 149-ФЗ «Об информации, информационных технологиях и о защите информации».</w:t>
      </w:r>
    </w:p>
    <w:p>
      <w:pPr>
        <w:pStyle w:val="ae"/>
        <w:numPr>
          <w:ilvl w:val="1"/>
          <w:numId w:val="16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взаимодействия участники информационного взаимодействия руководствуются следующими принципами:</w:t>
      </w:r>
    </w:p>
    <w:p>
      <w:pPr>
        <w:pStyle w:val="ae"/>
        <w:numPr>
          <w:ilvl w:val="0"/>
          <w:numId w:val="1"/>
        </w:numPr>
        <w:tabs>
          <w:tab w:val="left" w:pos="993"/>
        </w:tabs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строгое соблюдение служебной и иной охраняемой законами конфиденциальной информации;</w:t>
      </w:r>
    </w:p>
    <w:p>
      <w:pPr>
        <w:pStyle w:val="ae"/>
        <w:numPr>
          <w:ilvl w:val="0"/>
          <w:numId w:val="1"/>
        </w:numPr>
        <w:tabs>
          <w:tab w:val="left" w:pos="993"/>
        </w:tabs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защиты и контроля доступа к информации.</w:t>
      </w:r>
    </w:p>
    <w:p>
      <w:pPr>
        <w:pStyle w:val="ae"/>
        <w:numPr>
          <w:ilvl w:val="1"/>
          <w:numId w:val="16"/>
        </w:numPr>
        <w:tabs>
          <w:tab w:val="left" w:pos="142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Стороны признают, что использование СКЗИ, которые реализуют шифрование и ЭП, достаточно для обеспечения конфиденциальности информационного взаимодействия Сторон, защиты от несанкционированного доступа и безопасности обработки информации, а также для подтверждения того, что:</w:t>
      </w:r>
    </w:p>
    <w:p>
      <w:pPr>
        <w:pStyle w:val="22"/>
        <w:numPr>
          <w:ilvl w:val="0"/>
          <w:numId w:val="2"/>
        </w:numPr>
        <w:shd w:val="clear" w:color="auto" w:fill="auto"/>
        <w:spacing w:line="240" w:lineRule="auto"/>
        <w:ind w:left="0" w:firstLine="357"/>
        <w:rPr>
          <w:sz w:val="26"/>
          <w:szCs w:val="26"/>
        </w:rPr>
      </w:pPr>
      <w:r>
        <w:rPr>
          <w:sz w:val="26"/>
          <w:szCs w:val="26"/>
        </w:rPr>
        <w:t>электронный документ исходит от Стороны, его передавшей (подтверждение авторства документа);</w:t>
      </w:r>
    </w:p>
    <w:p>
      <w:pPr>
        <w:pStyle w:val="22"/>
        <w:numPr>
          <w:ilvl w:val="0"/>
          <w:numId w:val="2"/>
        </w:numPr>
        <w:shd w:val="clear" w:color="auto" w:fill="auto"/>
        <w:spacing w:line="240" w:lineRule="auto"/>
        <w:ind w:left="0" w:firstLine="357"/>
        <w:rPr>
          <w:sz w:val="26"/>
          <w:szCs w:val="26"/>
        </w:rPr>
      </w:pPr>
      <w:r>
        <w:rPr>
          <w:sz w:val="26"/>
          <w:szCs w:val="26"/>
        </w:rPr>
        <w:t>электронный документ не претерпел изменений при информационном взаимодействии Сторон (подтверждение целостности и подлинности документа) при положительном результате проверки ЭП;</w:t>
      </w:r>
    </w:p>
    <w:p>
      <w:pPr>
        <w:pStyle w:val="22"/>
        <w:numPr>
          <w:ilvl w:val="0"/>
          <w:numId w:val="2"/>
        </w:numPr>
        <w:shd w:val="clear" w:color="auto" w:fill="auto"/>
        <w:spacing w:line="240" w:lineRule="auto"/>
        <w:ind w:left="0" w:firstLine="357"/>
        <w:rPr>
          <w:sz w:val="26"/>
          <w:szCs w:val="26"/>
        </w:rPr>
      </w:pPr>
      <w:r>
        <w:rPr>
          <w:sz w:val="26"/>
          <w:szCs w:val="26"/>
        </w:rPr>
        <w:t>фактом доставки электронного документа является формирование принимающей Стороной квитанции о доставке электронного документа.</w:t>
      </w:r>
    </w:p>
    <w:p>
      <w:pPr>
        <w:pStyle w:val="22"/>
        <w:numPr>
          <w:ilvl w:val="1"/>
          <w:numId w:val="16"/>
        </w:numPr>
        <w:shd w:val="clear" w:color="auto" w:fill="auto"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 xml:space="preserve">Стороны  назначают своими распорядительными документами уполномоченных лиц, имеющих право подписывать электронные документы от их имени. Фамилии, имена и отчества уполномоченных лиц, их должности, номера телефонов и адреса электронной почты сообщаются другой Стороне. </w:t>
      </w:r>
    </w:p>
    <w:p>
      <w:pPr>
        <w:pStyle w:val="22"/>
        <w:numPr>
          <w:ilvl w:val="1"/>
          <w:numId w:val="16"/>
        </w:numPr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Настоящее Соглашение является безвозмездным.</w:t>
      </w:r>
    </w:p>
    <w:p>
      <w:pPr>
        <w:tabs>
          <w:tab w:val="left" w:pos="28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ТЕХНИЧЕСКИЕ УСЛОВИЯ</w:t>
      </w:r>
    </w:p>
    <w:p>
      <w:pPr>
        <w:pStyle w:val="ae"/>
        <w:numPr>
          <w:ilvl w:val="1"/>
          <w:numId w:val="17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Приобретение, установка и функционирование программного обеспечения, каналов связи, СКЗИ с функциями ЭП осуществляется за счет Сторон, а также с использованием технических сре</w:t>
      </w:r>
      <w:proofErr w:type="gramStart"/>
      <w:r>
        <w:rPr>
          <w:sz w:val="26"/>
          <w:szCs w:val="26"/>
        </w:rPr>
        <w:t>дств Ст</w:t>
      </w:r>
      <w:proofErr w:type="gramEnd"/>
      <w:r>
        <w:rPr>
          <w:sz w:val="26"/>
          <w:szCs w:val="26"/>
        </w:rPr>
        <w:t>орон.</w:t>
      </w:r>
    </w:p>
    <w:p>
      <w:pPr>
        <w:pStyle w:val="ae"/>
        <w:numPr>
          <w:ilvl w:val="1"/>
          <w:numId w:val="17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Изготовление и сертификацию ключей шифрования и ЭП стороны соглашения осуществляют в УЦ, аккредитованных в соответствии с Федеральным законом «Об электронной подписи».</w:t>
      </w:r>
    </w:p>
    <w:p>
      <w:pPr>
        <w:pStyle w:val="ae"/>
        <w:numPr>
          <w:ilvl w:val="1"/>
          <w:numId w:val="17"/>
        </w:numPr>
        <w:ind w:left="0" w:firstLine="36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Информационный обмен электронными документами между Сторонами осуществляется по телекоммуникационным каналам, предназначенным для обмена документами для назначения пенсии и обеспечения их конфиденциальности в процессе передачи. </w:t>
      </w:r>
    </w:p>
    <w:p>
      <w:pPr>
        <w:tabs>
          <w:tab w:val="left" w:pos="113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bidi="ru-RU"/>
        </w:rPr>
        <w:lastRenderedPageBreak/>
        <w:t>4. П</w:t>
      </w:r>
      <w:r>
        <w:rPr>
          <w:b/>
          <w:sz w:val="26"/>
          <w:szCs w:val="26"/>
        </w:rPr>
        <w:t>ОРЯДОК ОСУЩЕСТВЛЕНИЯ ОБМЕНА ЭЛЕКТРОННЫМИ ДОКУМЕНТАМИ</w:t>
      </w:r>
    </w:p>
    <w:p>
      <w:pPr>
        <w:tabs>
          <w:tab w:val="left" w:pos="1134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ab/>
        <w:t>Обмен электронными документами между Сторонами осуществляется на основании Порядка организации электронного информационного взаимодействия по предоставлению документов, необходимых для назначения пенсий (Приложение).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tabs>
          <w:tab w:val="left" w:pos="113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bidi="ru-RU"/>
        </w:rPr>
        <w:t xml:space="preserve">5. </w:t>
      </w:r>
      <w:r>
        <w:rPr>
          <w:b/>
          <w:sz w:val="26"/>
          <w:szCs w:val="26"/>
        </w:rPr>
        <w:t>ПРАВА И ОБЯЗАННОСТИ СТОРОН</w:t>
      </w:r>
    </w:p>
    <w:p>
      <w:pPr>
        <w:pStyle w:val="ae"/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Отделение принимает на себя следующие права и обязанности:</w:t>
      </w:r>
    </w:p>
    <w:p>
      <w:pPr>
        <w:pStyle w:val="ae"/>
        <w:widowControl w:val="0"/>
        <w:numPr>
          <w:ilvl w:val="2"/>
          <w:numId w:val="20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 функционирование аппаратно-программных средств Отделения, необходимых для обеспечения защищенного обмена электронными документами с Абонентом системы.</w:t>
      </w:r>
    </w:p>
    <w:p>
      <w:pPr>
        <w:pStyle w:val="ae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Применять для обмена электронными документами сертифицированные СКЗИ и средства электронной подписи.</w:t>
      </w:r>
    </w:p>
    <w:p>
      <w:pPr>
        <w:pStyle w:val="ae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 изменении требований к передаваемым электронным документам Отделение обязуется извещать Абонента системы об этих изменениях в течение 10 рабочих дней.</w:t>
      </w:r>
    </w:p>
    <w:p>
      <w:pPr>
        <w:pStyle w:val="ae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Прекращать использование скомпрометированного ключа шифрования и проверки ЭП, о чем немедленно информировать Абонента системы и поставщика услуг УЦ и СКЗИ.</w:t>
      </w:r>
    </w:p>
    <w:p>
      <w:pPr>
        <w:pStyle w:val="ae"/>
        <w:widowControl w:val="0"/>
        <w:numPr>
          <w:ilvl w:val="1"/>
          <w:numId w:val="22"/>
        </w:numPr>
        <w:autoSpaceDE w:val="0"/>
        <w:autoSpaceDN w:val="0"/>
        <w:adjustRightInd w:val="0"/>
        <w:ind w:hanging="472"/>
        <w:jc w:val="both"/>
        <w:rPr>
          <w:sz w:val="26"/>
          <w:szCs w:val="26"/>
        </w:rPr>
      </w:pPr>
      <w:r>
        <w:rPr>
          <w:sz w:val="26"/>
          <w:szCs w:val="26"/>
        </w:rPr>
        <w:t>Абонент системы принимает на себя следующие права и обязанности:</w:t>
      </w:r>
    </w:p>
    <w:p>
      <w:pPr>
        <w:pStyle w:val="ae"/>
        <w:widowControl w:val="0"/>
        <w:numPr>
          <w:ilvl w:val="2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функционирование всего оборудования со стороны Абонента системы, необходимого для обмена электронными документами с Отделением.</w:t>
      </w:r>
    </w:p>
    <w:p>
      <w:pPr>
        <w:pStyle w:val="ae"/>
        <w:widowControl w:val="0"/>
        <w:numPr>
          <w:ilvl w:val="2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Прекращать использование скомпрометированного ключа шифрования и ключа проверки ЭП, о чем немедленно информировать Отделение и поставщика услуг УЦ, СКЗИ.</w:t>
      </w:r>
    </w:p>
    <w:p>
      <w:pPr>
        <w:pStyle w:val="ae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безопасности обработки и конфиденциальности Информации, Отделение и Абонент системы обязаны:</w:t>
      </w:r>
    </w:p>
    <w:p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соблюдать требования эксплуатационной документации на СКЗИ;</w:t>
      </w:r>
    </w:p>
    <w:p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появления в компьютерной среде информационного взаимодействия компьютерных вирусов и программ, направленных на искажение или разрушение передаваемой информации;</w:t>
      </w:r>
    </w:p>
    <w:p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не уничтожать и (или) не модифицировать архивы ключей проверки ЭП, электронных документов (в том числе электронные уведомления и журналы);</w:t>
      </w:r>
    </w:p>
    <w:p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обмен электронными документами только по защищенным каналам связи передачи данных.</w:t>
      </w:r>
    </w:p>
    <w:p>
      <w:pPr>
        <w:pStyle w:val="ae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невозможности исполнения обязательств по  настоящему Соглашению Стороны немедленно письменно извещают друг друга о приостановлении обязательств.</w:t>
      </w:r>
    </w:p>
    <w:p>
      <w:pPr>
        <w:pStyle w:val="ae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возникновении споров, связанных с принятием или непринятием электронного документа, Стороны обязаны соблюдать порядок Подтверждения действительности ЭП, использованной для подписания электронных документов в соответствии с Приказом Казначейства России от 15.06.2021 № 21н «Об утверждении Порядка реализации Федеральным казначейством функций аккредитованного удостоверяющего центра и исполнения его обязанностей». </w:t>
      </w:r>
    </w:p>
    <w:p>
      <w:pPr>
        <w:pStyle w:val="ae"/>
        <w:widowControl w:val="0"/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>
      <w:pPr>
        <w:pStyle w:val="ae"/>
        <w:widowControl w:val="0"/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>
      <w:pPr>
        <w:numPr>
          <w:ilvl w:val="0"/>
          <w:numId w:val="2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ОТВЕТСТВЕННОСТЬ СТОРОН</w:t>
      </w:r>
    </w:p>
    <w:p>
      <w:pPr>
        <w:ind w:left="390"/>
        <w:rPr>
          <w:b/>
          <w:sz w:val="26"/>
          <w:szCs w:val="26"/>
        </w:rPr>
      </w:pPr>
    </w:p>
    <w:p>
      <w:pPr>
        <w:pStyle w:val="22"/>
        <w:numPr>
          <w:ilvl w:val="1"/>
          <w:numId w:val="23"/>
        </w:numPr>
        <w:shd w:val="clear" w:color="auto" w:fill="auto"/>
        <w:suppressAutoHyphens/>
        <w:spacing w:line="240" w:lineRule="auto"/>
        <w:ind w:left="142" w:firstLine="284"/>
        <w:rPr>
          <w:sz w:val="26"/>
          <w:szCs w:val="26"/>
        </w:rPr>
      </w:pPr>
      <w:r>
        <w:rPr>
          <w:sz w:val="26"/>
          <w:szCs w:val="26"/>
        </w:rPr>
        <w:t>Стороны несут ответственность за ненадлежащее использование информации ограниченного доступа в соответствии с законодательством Российской Федерации.</w:t>
      </w:r>
    </w:p>
    <w:p>
      <w:pPr>
        <w:pStyle w:val="22"/>
        <w:numPr>
          <w:ilvl w:val="1"/>
          <w:numId w:val="23"/>
        </w:numPr>
        <w:shd w:val="clear" w:color="auto" w:fill="auto"/>
        <w:suppressAutoHyphens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Стороны несут ответственность за сохранность используемого программного обеспечения, архивов сертификатов открытых ключей ЭП и электронных документов.</w:t>
      </w:r>
    </w:p>
    <w:p>
      <w:pPr>
        <w:pStyle w:val="22"/>
        <w:numPr>
          <w:ilvl w:val="1"/>
          <w:numId w:val="23"/>
        </w:numPr>
        <w:shd w:val="clear" w:color="auto" w:fill="auto"/>
        <w:suppressAutoHyphens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Если одна из Сторон предъявляет другой Стороне претензии по электронному документу, при наличии подтверждения другой Стороной факта получения такого документа, а другая Сторона не может представить спорный электронный документ, виновной признается Сторона, не представившая спорный документ.</w:t>
      </w:r>
    </w:p>
    <w:p>
      <w:pPr>
        <w:pStyle w:val="22"/>
        <w:numPr>
          <w:ilvl w:val="1"/>
          <w:numId w:val="23"/>
        </w:numPr>
        <w:shd w:val="clear" w:color="auto" w:fill="auto"/>
        <w:suppressAutoHyphens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Стороны обязуются выполнять Инструкцию об организации и обеспечении безопасности хранения, обработки и передачи по каналам связи с использованием сре</w:t>
      </w:r>
      <w:proofErr w:type="gramStart"/>
      <w:r>
        <w:rPr>
          <w:sz w:val="26"/>
          <w:szCs w:val="26"/>
        </w:rPr>
        <w:t>дств кр</w:t>
      </w:r>
      <w:proofErr w:type="gramEnd"/>
      <w:r>
        <w:rPr>
          <w:sz w:val="26"/>
          <w:szCs w:val="26"/>
        </w:rPr>
        <w:t>иптографической защиты информации с ограниченным доступом, не содержащей сведений, составляющих государственную тайну, утвержденную приказом ФАПСИ от 13.06.2001 № 152.</w:t>
      </w:r>
    </w:p>
    <w:p>
      <w:pPr>
        <w:autoSpaceDE w:val="0"/>
        <w:autoSpaceDN w:val="0"/>
        <w:adjustRightInd w:val="0"/>
        <w:ind w:firstLine="426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6.5.</w:t>
      </w:r>
      <w:r>
        <w:rPr>
          <w:b/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Соглашению, обусловленное действием обстоятельств непреодолимой силы, то есть чрезвычайных и непреодолимых при данных условиях обстоятельств, в том числе: объявленной или фактической войны, гражданских волнений, террористических актов, эпидемий, блокад, эмбарго, пожаров, землетрясений, наводнений и других стихийных бедствий, а также издание актов органами государственной</w:t>
      </w:r>
      <w:proofErr w:type="gramEnd"/>
      <w:r>
        <w:rPr>
          <w:sz w:val="26"/>
          <w:szCs w:val="26"/>
        </w:rPr>
        <w:t xml:space="preserve">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Соглашению, в результате событий чрезвычайного характера, которые Стороны не были в состоянии предвидеть или предотвратить.</w:t>
      </w:r>
    </w:p>
    <w:p>
      <w:pPr>
        <w:tabs>
          <w:tab w:val="left" w:pos="28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РАЗРЕШЕНИЯ СПОРОВ</w:t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При возникновении разногласий и споров в связи с обменом документами в электронном виде, которые не удалось разрешить в рабочем порядке, и с целью установления фактических обстоятельств, послуживших основанием для их возникновения, а также для проверки целостности и подтверждения подлинности электронного документа, подписанного ЭП, Стороны назначают совместную комиссию с привлечением УЦ для проведения технической экспертизы.</w:t>
      </w:r>
      <w:proofErr w:type="gramEnd"/>
      <w:r>
        <w:rPr>
          <w:sz w:val="26"/>
          <w:szCs w:val="26"/>
        </w:rPr>
        <w:t xml:space="preserve"> Споры, по которым не достигнуто соглашение Сторон после проведения технической экспертизы, разрешаются в арбитражном суде в соответствии с законодательством Российской Федерации. </w:t>
      </w:r>
    </w:p>
    <w:p>
      <w:pPr>
        <w:jc w:val="both"/>
        <w:rPr>
          <w:sz w:val="26"/>
          <w:szCs w:val="26"/>
        </w:rPr>
      </w:pPr>
    </w:p>
    <w:p>
      <w:pPr>
        <w:numPr>
          <w:ilvl w:val="0"/>
          <w:numId w:val="27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ИЗМЕНЕНИЯ СОГЛАШЕНИЯ </w:t>
      </w:r>
    </w:p>
    <w:p>
      <w:pPr>
        <w:ind w:left="720"/>
        <w:rPr>
          <w:b/>
          <w:sz w:val="26"/>
          <w:szCs w:val="26"/>
        </w:rPr>
      </w:pPr>
    </w:p>
    <w:p>
      <w:pPr>
        <w:autoSpaceDE w:val="0"/>
        <w:autoSpaceDN w:val="0"/>
        <w:adjustRightInd w:val="0"/>
        <w:ind w:firstLine="36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Все изменения и/или дополнения к настоящему Соглашению действительны в том случае, если они оформлены в письменной форме дополнительным соглашением и подписаны уполномоченными представителями Сторон.</w:t>
      </w:r>
    </w:p>
    <w:p>
      <w:pPr>
        <w:autoSpaceDE w:val="0"/>
        <w:autoSpaceDN w:val="0"/>
        <w:adjustRightInd w:val="0"/>
        <w:ind w:firstLine="360"/>
        <w:jc w:val="both"/>
        <w:outlineLvl w:val="1"/>
        <w:rPr>
          <w:sz w:val="26"/>
          <w:szCs w:val="26"/>
        </w:rPr>
      </w:pPr>
    </w:p>
    <w:p>
      <w:pPr>
        <w:autoSpaceDE w:val="0"/>
        <w:autoSpaceDN w:val="0"/>
        <w:adjustRightInd w:val="0"/>
        <w:ind w:firstLine="360"/>
        <w:jc w:val="both"/>
        <w:outlineLvl w:val="1"/>
        <w:rPr>
          <w:sz w:val="26"/>
          <w:szCs w:val="26"/>
        </w:rPr>
      </w:pPr>
    </w:p>
    <w:p>
      <w:pPr>
        <w:numPr>
          <w:ilvl w:val="0"/>
          <w:numId w:val="27"/>
        </w:numPr>
        <w:tabs>
          <w:tab w:val="left" w:pos="1134"/>
        </w:tabs>
        <w:spacing w:before="240" w:after="120"/>
        <w:ind w:left="1276" w:hanging="91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СРОК ДЕЙСТВИЯ СОГЛАШЕНИЯ</w:t>
      </w:r>
    </w:p>
    <w:p>
      <w:pPr>
        <w:pStyle w:val="22"/>
        <w:numPr>
          <w:ilvl w:val="1"/>
          <w:numId w:val="28"/>
        </w:numPr>
        <w:suppressAutoHyphens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.   Настоящее Соглашение вступает в силу с момента его подписания.</w:t>
      </w:r>
    </w:p>
    <w:p>
      <w:pPr>
        <w:pStyle w:val="22"/>
        <w:numPr>
          <w:ilvl w:val="1"/>
          <w:numId w:val="28"/>
        </w:numPr>
        <w:suppressAutoHyphens/>
        <w:spacing w:line="240" w:lineRule="auto"/>
        <w:ind w:left="0" w:firstLine="349"/>
        <w:rPr>
          <w:sz w:val="26"/>
          <w:szCs w:val="26"/>
        </w:rPr>
      </w:pPr>
      <w:r>
        <w:rPr>
          <w:sz w:val="26"/>
          <w:szCs w:val="26"/>
        </w:rPr>
        <w:t>. В случае нарушения одной из Сторон обязательств, предусмотренных данным Соглашением, другая Сторона вправе в одностороннем порядке расторгнуть настоящее Соглашение, уведомив об этом в письменном виде другую Сторону.</w:t>
      </w:r>
    </w:p>
    <w:p>
      <w:pPr>
        <w:pStyle w:val="22"/>
        <w:numPr>
          <w:ilvl w:val="1"/>
          <w:numId w:val="28"/>
        </w:numPr>
        <w:suppressAutoHyphens/>
        <w:spacing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>. Настоящее Соглашение составляется в двух экземплярах, по одному для каждой Стороны.</w:t>
      </w:r>
    </w:p>
    <w:p>
      <w:pPr>
        <w:pStyle w:val="22"/>
        <w:numPr>
          <w:ilvl w:val="1"/>
          <w:numId w:val="28"/>
        </w:numPr>
        <w:suppressAutoHyphens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. Соглашение действует бессрочно.</w:t>
      </w:r>
    </w:p>
    <w:p>
      <w:pPr>
        <w:pStyle w:val="22"/>
        <w:numPr>
          <w:ilvl w:val="1"/>
          <w:numId w:val="28"/>
        </w:numPr>
        <w:suppressAutoHyphens/>
        <w:spacing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>. В случае намерения одной из Сторон расторгнуть Соглашение в одностороннем порядке, необходимо уведомить письменно об этом другую сторону не менее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чем за 30 календарных дней.</w:t>
      </w:r>
    </w:p>
    <w:p>
      <w:pPr>
        <w:shd w:val="clear" w:color="auto" w:fill="FFFFFF"/>
        <w:rPr>
          <w:b/>
          <w:bCs/>
          <w:color w:val="000000"/>
          <w:spacing w:val="-4"/>
          <w:sz w:val="26"/>
          <w:szCs w:val="26"/>
        </w:rPr>
      </w:pPr>
    </w:p>
    <w:p>
      <w:pPr>
        <w:pStyle w:val="22"/>
        <w:numPr>
          <w:ilvl w:val="0"/>
          <w:numId w:val="27"/>
        </w:numPr>
        <w:suppressAutoHyphens/>
        <w:spacing w:line="240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  ПРИЛОЖЕНИЯ</w:t>
      </w:r>
    </w:p>
    <w:p>
      <w:pPr>
        <w:pStyle w:val="22"/>
        <w:suppressAutoHyphens/>
        <w:spacing w:line="240" w:lineRule="auto"/>
        <w:ind w:left="390"/>
        <w:rPr>
          <w:rFonts w:eastAsia="Calibri"/>
          <w:b/>
          <w:bCs/>
          <w:sz w:val="26"/>
          <w:szCs w:val="26"/>
          <w:lang w:eastAsia="en-US"/>
        </w:rPr>
      </w:pPr>
    </w:p>
    <w:p>
      <w:pPr>
        <w:pStyle w:val="22"/>
        <w:suppressAutoHyphens/>
        <w:spacing w:line="240" w:lineRule="auto"/>
        <w:ind w:left="993" w:firstLine="76"/>
        <w:rPr>
          <w:sz w:val="26"/>
          <w:szCs w:val="26"/>
        </w:rPr>
      </w:pPr>
      <w:r>
        <w:rPr>
          <w:sz w:val="26"/>
          <w:szCs w:val="26"/>
        </w:rPr>
        <w:t xml:space="preserve">«Порядок организации электронного информационного взаимодействия </w:t>
      </w:r>
      <w:proofErr w:type="gramStart"/>
      <w:r>
        <w:rPr>
          <w:sz w:val="26"/>
          <w:szCs w:val="26"/>
        </w:rPr>
        <w:t>по</w:t>
      </w:r>
      <w:proofErr w:type="gramEnd"/>
    </w:p>
    <w:p>
      <w:pPr>
        <w:pStyle w:val="22"/>
        <w:suppressAutoHyphens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предоставлению документов,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необходимых для назначения пенсий» </w:t>
      </w:r>
      <w:r>
        <w:rPr>
          <w:rFonts w:eastAsia="Calibri"/>
          <w:bCs/>
          <w:sz w:val="26"/>
          <w:szCs w:val="26"/>
          <w:lang w:eastAsia="en-US"/>
        </w:rPr>
        <w:t>образует приложение к настоящему Соглашению и является его неотъемлемой частью.</w:t>
      </w:r>
      <w:r>
        <w:rPr>
          <w:sz w:val="26"/>
          <w:szCs w:val="26"/>
        </w:rPr>
        <w:t xml:space="preserve"> </w:t>
      </w:r>
    </w:p>
    <w:p>
      <w:pPr>
        <w:pStyle w:val="22"/>
        <w:suppressAutoHyphens/>
        <w:spacing w:line="240" w:lineRule="auto"/>
        <w:rPr>
          <w:b/>
          <w:sz w:val="26"/>
          <w:szCs w:val="26"/>
        </w:rPr>
      </w:pPr>
    </w:p>
    <w:p>
      <w:pPr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Юридические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6"/>
      </w:tblGrid>
      <w:tr>
        <w:trPr>
          <w:trHeight w:val="5612"/>
        </w:trPr>
        <w:tc>
          <w:tcPr>
            <w:tcW w:w="460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 Фонда пенсионного и социального страхования Российской Федерации по Санкт-Петербургу и Ленинградской области</w:t>
            </w: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Юридический адрес</w:t>
            </w:r>
            <w:r>
              <w:rPr>
                <w:sz w:val="26"/>
                <w:szCs w:val="26"/>
                <w:u w:val="single"/>
              </w:rPr>
              <w:t xml:space="preserve">: </w:t>
            </w:r>
            <w:proofErr w:type="spellStart"/>
            <w:r>
              <w:rPr>
                <w:sz w:val="26"/>
                <w:szCs w:val="26"/>
                <w:u w:val="single"/>
              </w:rPr>
              <w:t>пр</w:t>
            </w:r>
            <w:proofErr w:type="gramStart"/>
            <w:r>
              <w:rPr>
                <w:sz w:val="26"/>
                <w:szCs w:val="26"/>
                <w:u w:val="single"/>
              </w:rPr>
              <w:t>.Э</w:t>
            </w:r>
            <w:proofErr w:type="gramEnd"/>
            <w:r>
              <w:rPr>
                <w:sz w:val="26"/>
                <w:szCs w:val="26"/>
                <w:u w:val="single"/>
              </w:rPr>
              <w:t>нгельса</w:t>
            </w:r>
            <w:proofErr w:type="spellEnd"/>
            <w:r>
              <w:rPr>
                <w:sz w:val="26"/>
                <w:szCs w:val="26"/>
                <w:u w:val="single"/>
              </w:rPr>
              <w:t>, д. 73,</w:t>
            </w: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Санкт-Петербург, 194214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  <w:lang w:val="en-US"/>
              </w:rPr>
              <w:t>www</w:t>
            </w:r>
            <w:r>
              <w:rPr>
                <w:sz w:val="26"/>
                <w:szCs w:val="26"/>
                <w:u w:val="single"/>
              </w:rPr>
              <w:t>.</w:t>
            </w:r>
            <w:proofErr w:type="spellStart"/>
            <w:r>
              <w:rPr>
                <w:sz w:val="26"/>
                <w:szCs w:val="26"/>
                <w:u w:val="single"/>
                <w:lang w:val="en-US"/>
              </w:rPr>
              <w:t>sfr</w:t>
            </w:r>
            <w:proofErr w:type="spellEnd"/>
            <w:r>
              <w:rPr>
                <w:sz w:val="26"/>
                <w:szCs w:val="26"/>
                <w:u w:val="single"/>
              </w:rPr>
              <w:t>.</w:t>
            </w:r>
            <w:proofErr w:type="spellStart"/>
            <w:r>
              <w:rPr>
                <w:sz w:val="26"/>
                <w:szCs w:val="26"/>
                <w:u w:val="single"/>
                <w:lang w:val="en-US"/>
              </w:rPr>
              <w:t>gov</w:t>
            </w:r>
            <w:proofErr w:type="spellEnd"/>
            <w:r>
              <w:rPr>
                <w:sz w:val="26"/>
                <w:szCs w:val="26"/>
                <w:u w:val="single"/>
              </w:rPr>
              <w:t>.</w:t>
            </w:r>
            <w:proofErr w:type="spellStart"/>
            <w:r>
              <w:rPr>
                <w:sz w:val="26"/>
                <w:szCs w:val="26"/>
                <w:u w:val="single"/>
                <w:lang w:val="en-US"/>
              </w:rPr>
              <w:t>ru</w:t>
            </w:r>
            <w:proofErr w:type="spellEnd"/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  <w:u w:val="single"/>
              </w:rPr>
              <w:t xml:space="preserve"> 7802114044</w:t>
            </w: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КПП </w:t>
            </w:r>
            <w:r>
              <w:rPr>
                <w:sz w:val="26"/>
                <w:szCs w:val="26"/>
                <w:u w:val="single"/>
              </w:rPr>
              <w:t>780201001</w:t>
            </w: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ОГРН </w:t>
            </w:r>
            <w:r>
              <w:rPr>
                <w:sz w:val="26"/>
                <w:szCs w:val="26"/>
                <w:u w:val="single"/>
              </w:rPr>
              <w:t>1027801558223</w:t>
            </w: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заместителя Управляющего 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ОСФР по Санкт-Петербургу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Ленинградской области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_______________М.А. Стренго</w:t>
            </w: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_____________20__</w:t>
            </w: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460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Тел._________________________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факс_________________________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>:_______________________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 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 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(должность уполномоченного лица)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(подпись, ФИО)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_____________20__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</w:tbl>
    <w:p>
      <w:pPr>
        <w:shd w:val="clear" w:color="auto" w:fill="FFFFFF"/>
        <w:jc w:val="center"/>
        <w:rPr>
          <w:b/>
          <w:sz w:val="22"/>
          <w:szCs w:val="22"/>
        </w:rPr>
      </w:pPr>
    </w:p>
    <w:p>
      <w:pPr>
        <w:pStyle w:val="ae"/>
        <w:widowControl w:val="0"/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sectPr>
      <w:headerReference w:type="default" r:id="rId9"/>
      <w:pgSz w:w="11906" w:h="16838"/>
      <w:pgMar w:top="567" w:right="851" w:bottom="993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631876"/>
      <w:docPartObj>
        <w:docPartGallery w:val="Page Numbers (Top of Page)"/>
        <w:docPartUnique/>
      </w:docPartObj>
    </w:sdtPr>
    <w:sdtContent>
      <w:p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A76"/>
    <w:multiLevelType w:val="multilevel"/>
    <w:tmpl w:val="CF90810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36042A"/>
    <w:multiLevelType w:val="hybridMultilevel"/>
    <w:tmpl w:val="F40857FA"/>
    <w:lvl w:ilvl="0" w:tplc="CD06187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623B5"/>
    <w:multiLevelType w:val="hybridMultilevel"/>
    <w:tmpl w:val="65165BA0"/>
    <w:lvl w:ilvl="0" w:tplc="55BEC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F7C30"/>
    <w:multiLevelType w:val="hybridMultilevel"/>
    <w:tmpl w:val="EE5008A8"/>
    <w:lvl w:ilvl="0" w:tplc="0492991A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16C4E"/>
    <w:multiLevelType w:val="multilevel"/>
    <w:tmpl w:val="5BF2EC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D99484E"/>
    <w:multiLevelType w:val="hybridMultilevel"/>
    <w:tmpl w:val="C8A8504A"/>
    <w:lvl w:ilvl="0" w:tplc="2B747354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029A"/>
    <w:multiLevelType w:val="hybridMultilevel"/>
    <w:tmpl w:val="E54C2CDE"/>
    <w:lvl w:ilvl="0" w:tplc="55BEC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F073D"/>
    <w:multiLevelType w:val="multilevel"/>
    <w:tmpl w:val="DDA48FB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8BD4B0C"/>
    <w:multiLevelType w:val="multilevel"/>
    <w:tmpl w:val="29C6F5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8DE2559"/>
    <w:multiLevelType w:val="multilevel"/>
    <w:tmpl w:val="144879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9E17EC2"/>
    <w:multiLevelType w:val="multilevel"/>
    <w:tmpl w:val="4C0E07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E01C9"/>
    <w:multiLevelType w:val="multilevel"/>
    <w:tmpl w:val="5F5CCFEE"/>
    <w:lvl w:ilvl="0">
      <w:start w:val="3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3D72DD5"/>
    <w:multiLevelType w:val="hybridMultilevel"/>
    <w:tmpl w:val="453469FA"/>
    <w:lvl w:ilvl="0" w:tplc="EC0E67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268A0"/>
    <w:multiLevelType w:val="hybridMultilevel"/>
    <w:tmpl w:val="0B8ECA2C"/>
    <w:lvl w:ilvl="0" w:tplc="55BEC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612CC"/>
    <w:multiLevelType w:val="hybridMultilevel"/>
    <w:tmpl w:val="7C509630"/>
    <w:lvl w:ilvl="0" w:tplc="8660A9C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36965"/>
    <w:multiLevelType w:val="multilevel"/>
    <w:tmpl w:val="354AB0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458273C"/>
    <w:multiLevelType w:val="hybridMultilevel"/>
    <w:tmpl w:val="5DC48D8E"/>
    <w:lvl w:ilvl="0" w:tplc="55BEC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931B2"/>
    <w:multiLevelType w:val="hybridMultilevel"/>
    <w:tmpl w:val="084EE220"/>
    <w:lvl w:ilvl="0" w:tplc="ADD2EC6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C4FF1"/>
    <w:multiLevelType w:val="multilevel"/>
    <w:tmpl w:val="31AAA8F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9">
    <w:nsid w:val="51752B16"/>
    <w:multiLevelType w:val="hybridMultilevel"/>
    <w:tmpl w:val="54049528"/>
    <w:lvl w:ilvl="0" w:tplc="4A3EA1D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86D5B"/>
    <w:multiLevelType w:val="multilevel"/>
    <w:tmpl w:val="FCC0F9F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55AB5251"/>
    <w:multiLevelType w:val="hybridMultilevel"/>
    <w:tmpl w:val="BF687F44"/>
    <w:lvl w:ilvl="0" w:tplc="CC069BF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02BFA"/>
    <w:multiLevelType w:val="hybridMultilevel"/>
    <w:tmpl w:val="27647AD6"/>
    <w:lvl w:ilvl="0" w:tplc="676C0B1A">
      <w:start w:val="1"/>
      <w:numFmt w:val="decimal"/>
      <w:lvlText w:val="1.%1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>
    <w:nsid w:val="69DA2EF0"/>
    <w:multiLevelType w:val="hybridMultilevel"/>
    <w:tmpl w:val="9404FECA"/>
    <w:lvl w:ilvl="0" w:tplc="F0B04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1E42E0"/>
    <w:multiLevelType w:val="multilevel"/>
    <w:tmpl w:val="7AB4A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25">
    <w:nsid w:val="6E686A3D"/>
    <w:multiLevelType w:val="hybridMultilevel"/>
    <w:tmpl w:val="54049528"/>
    <w:lvl w:ilvl="0" w:tplc="4A3EA1D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16453"/>
    <w:multiLevelType w:val="multilevel"/>
    <w:tmpl w:val="2B5A709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27">
    <w:nsid w:val="7BB51362"/>
    <w:multiLevelType w:val="hybridMultilevel"/>
    <w:tmpl w:val="A0849708"/>
    <w:lvl w:ilvl="0" w:tplc="F0B04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6"/>
  </w:num>
  <w:num w:numId="5">
    <w:abstractNumId w:val="22"/>
  </w:num>
  <w:num w:numId="6">
    <w:abstractNumId w:val="12"/>
  </w:num>
  <w:num w:numId="7">
    <w:abstractNumId w:val="14"/>
  </w:num>
  <w:num w:numId="8">
    <w:abstractNumId w:val="5"/>
  </w:num>
  <w:num w:numId="9">
    <w:abstractNumId w:val="1"/>
  </w:num>
  <w:num w:numId="10">
    <w:abstractNumId w:val="17"/>
  </w:num>
  <w:num w:numId="11">
    <w:abstractNumId w:val="3"/>
  </w:num>
  <w:num w:numId="12">
    <w:abstractNumId w:val="21"/>
  </w:num>
  <w:num w:numId="13">
    <w:abstractNumId w:val="25"/>
  </w:num>
  <w:num w:numId="14">
    <w:abstractNumId w:val="19"/>
  </w:num>
  <w:num w:numId="15">
    <w:abstractNumId w:val="24"/>
  </w:num>
  <w:num w:numId="16">
    <w:abstractNumId w:val="4"/>
  </w:num>
  <w:num w:numId="17">
    <w:abstractNumId w:val="11"/>
  </w:num>
  <w:num w:numId="18">
    <w:abstractNumId w:val="18"/>
  </w:num>
  <w:num w:numId="19">
    <w:abstractNumId w:val="9"/>
  </w:num>
  <w:num w:numId="20">
    <w:abstractNumId w:val="20"/>
  </w:num>
  <w:num w:numId="21">
    <w:abstractNumId w:val="0"/>
  </w:num>
  <w:num w:numId="22">
    <w:abstractNumId w:val="26"/>
  </w:num>
  <w:num w:numId="23">
    <w:abstractNumId w:val="10"/>
  </w:num>
  <w:num w:numId="24">
    <w:abstractNumId w:val="7"/>
  </w:num>
  <w:num w:numId="25">
    <w:abstractNumId w:val="23"/>
  </w:num>
  <w:num w:numId="26">
    <w:abstractNumId w:val="27"/>
  </w:num>
  <w:num w:numId="27">
    <w:abstractNumId w:val="8"/>
  </w:num>
  <w:num w:numId="2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16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nhideWhenUsed/>
  </w:style>
  <w:style w:type="character" w:customStyle="1" w:styleId="a8">
    <w:name w:val="Текст сноски Знак"/>
    <w:basedOn w:val="a0"/>
    <w:link w:val="a7"/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4">
    <w:name w:val="Основной текст Знак"/>
    <w:basedOn w:val="a0"/>
    <w:link w:val="a3"/>
    <w:rPr>
      <w:sz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">
    <w:name w:val="Основной текст_"/>
    <w:link w:val="10"/>
    <w:rPr>
      <w:spacing w:val="6"/>
      <w:sz w:val="22"/>
      <w:shd w:val="clear" w:color="auto" w:fill="FFFFFF"/>
    </w:rPr>
  </w:style>
  <w:style w:type="paragraph" w:customStyle="1" w:styleId="10">
    <w:name w:val="Основной текст1"/>
    <w:basedOn w:val="a"/>
    <w:link w:val="af"/>
    <w:pPr>
      <w:shd w:val="clear" w:color="auto" w:fill="FFFFFF"/>
      <w:spacing w:before="180" w:line="374" w:lineRule="exact"/>
      <w:jc w:val="both"/>
    </w:pPr>
    <w:rPr>
      <w:spacing w:val="6"/>
      <w:sz w:val="22"/>
    </w:r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</w:style>
  <w:style w:type="paragraph" w:styleId="af0">
    <w:name w:val="No Spacing"/>
    <w:uiPriority w:val="1"/>
    <w:qFormat/>
    <w:rPr>
      <w:sz w:val="24"/>
      <w:szCs w:val="24"/>
    </w:rPr>
  </w:style>
  <w:style w:type="character" w:customStyle="1" w:styleId="21">
    <w:name w:val="Основной текст (2)_"/>
    <w:link w:val="2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312" w:lineRule="exact"/>
      <w:jc w:val="both"/>
    </w:pPr>
    <w:rPr>
      <w:sz w:val="28"/>
      <w:szCs w:val="28"/>
    </w:rPr>
  </w:style>
  <w:style w:type="paragraph" w:customStyle="1" w:styleId="af1">
    <w:name w:val="Базовый"/>
    <w:pPr>
      <w:suppressAutoHyphens/>
      <w:autoSpaceDE w:val="0"/>
      <w:spacing w:after="200" w:line="276" w:lineRule="auto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16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nhideWhenUsed/>
  </w:style>
  <w:style w:type="character" w:customStyle="1" w:styleId="a8">
    <w:name w:val="Текст сноски Знак"/>
    <w:basedOn w:val="a0"/>
    <w:link w:val="a7"/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4">
    <w:name w:val="Основной текст Знак"/>
    <w:basedOn w:val="a0"/>
    <w:link w:val="a3"/>
    <w:rPr>
      <w:sz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">
    <w:name w:val="Основной текст_"/>
    <w:link w:val="10"/>
    <w:rPr>
      <w:spacing w:val="6"/>
      <w:sz w:val="22"/>
      <w:shd w:val="clear" w:color="auto" w:fill="FFFFFF"/>
    </w:rPr>
  </w:style>
  <w:style w:type="paragraph" w:customStyle="1" w:styleId="10">
    <w:name w:val="Основной текст1"/>
    <w:basedOn w:val="a"/>
    <w:link w:val="af"/>
    <w:pPr>
      <w:shd w:val="clear" w:color="auto" w:fill="FFFFFF"/>
      <w:spacing w:before="180" w:line="374" w:lineRule="exact"/>
      <w:jc w:val="both"/>
    </w:pPr>
    <w:rPr>
      <w:spacing w:val="6"/>
      <w:sz w:val="22"/>
    </w:r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</w:style>
  <w:style w:type="paragraph" w:styleId="af0">
    <w:name w:val="No Spacing"/>
    <w:uiPriority w:val="1"/>
    <w:qFormat/>
    <w:rPr>
      <w:sz w:val="24"/>
      <w:szCs w:val="24"/>
    </w:rPr>
  </w:style>
  <w:style w:type="character" w:customStyle="1" w:styleId="21">
    <w:name w:val="Основной текст (2)_"/>
    <w:link w:val="2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312" w:lineRule="exact"/>
      <w:jc w:val="both"/>
    </w:pPr>
    <w:rPr>
      <w:sz w:val="28"/>
      <w:szCs w:val="28"/>
    </w:rPr>
  </w:style>
  <w:style w:type="paragraph" w:customStyle="1" w:styleId="af1">
    <w:name w:val="Базовый"/>
    <w:pPr>
      <w:suppressAutoHyphens/>
      <w:autoSpaceDE w:val="0"/>
      <w:spacing w:after="200" w:line="276" w:lineRule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9AA62-4CC7-411B-8E88-D077338F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1377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Тарунова Вероника Андреевна</cp:lastModifiedBy>
  <cp:revision>4</cp:revision>
  <cp:lastPrinted>2025-12-23T08:33:00Z</cp:lastPrinted>
  <dcterms:created xsi:type="dcterms:W3CDTF">2026-06-03T10:37:00Z</dcterms:created>
  <dcterms:modified xsi:type="dcterms:W3CDTF">2026-06-16T14:18:00Z</dcterms:modified>
</cp:coreProperties>
</file>