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3E2676" w:rsidRPr="007F7D30" w:rsidRDefault="003E267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3E267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4 838,63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  <w:p w:rsidR="00E60CC6" w:rsidRPr="007F7D30" w:rsidRDefault="003E267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3 013,38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</w:t>
            </w:r>
            <w:r w:rsidR="003E267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667AE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8 794,41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7F7D30" w:rsidRDefault="00667AE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6 969,16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</w:t>
            </w:r>
            <w:r w:rsidR="00667AEF">
              <w:rPr>
                <w:rFonts w:ascii="Times New Roman" w:hAnsi="Times New Roman" w:cs="Times New Roman"/>
                <w:sz w:val="20"/>
                <w:szCs w:val="20"/>
              </w:rPr>
              <w:t>1 825,25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667AE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2640,01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E60CC6" w:rsidRPr="007F7D30" w:rsidRDefault="00667AE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814,76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при п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лучении полного набора соц. услуг в натурал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67AEF">
              <w:rPr>
                <w:rFonts w:ascii="Times New Roman" w:hAnsi="Times New Roman" w:cs="Times New Roman"/>
                <w:sz w:val="20"/>
                <w:szCs w:val="20"/>
              </w:rPr>
              <w:t>1 825,25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 группа - </w:t>
            </w:r>
            <w:r w:rsidR="00667AEF">
              <w:rPr>
                <w:rFonts w:ascii="Times New Roman" w:hAnsi="Times New Roman" w:cs="Times New Roman"/>
                <w:sz w:val="20"/>
                <w:szCs w:val="20"/>
              </w:rPr>
              <w:t>25 782,85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667AEF">
              <w:rPr>
                <w:rFonts w:ascii="Times New Roman" w:hAnsi="Times New Roman" w:cs="Times New Roman"/>
                <w:sz w:val="20"/>
                <w:szCs w:val="20"/>
              </w:rPr>
              <w:t>12 891,40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2E1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667AEF">
              <w:rPr>
                <w:rFonts w:ascii="Times New Roman" w:hAnsi="Times New Roman" w:cs="Times New Roman"/>
                <w:sz w:val="20"/>
                <w:szCs w:val="20"/>
              </w:rPr>
              <w:t>5 156,57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9B22C8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3807,82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ствий из числа военн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служащих, проходивших военную службу в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оруженных Силах РФ, лиц, находившихся на военной службе в войсках национальной гвардии РФ, в воинских формир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ваниях и органах,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6 статьи 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званных на военную службу по мобилизации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заключивших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тракт в соответствии с пунктом 7 статьи 38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инской обязанности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военной службе» либо контракт о добровольном содействии в выполнении задач, возложенных на Вооруженные Силы РФ или войска национальной гвардии РФ, в период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стия в специальной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Украины, ДНР, ЛНР, Запорожской области и Херсонской области или в ходе вооруженной пров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кации на государственной границе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приграничных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 и ЛНР, а также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подпунктах 2.2 - 2.4 пункта 1 статьи 3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«О вет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2024. № 1960  «Об утверждении Правил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лечению, медицинской реабилитации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сти - в случае если увечье (ранение, травма, контузия), полученное волонтером,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их семей», от 25 августа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закона от 13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мерах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лях всем членам семьи,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нявшего работы по фортификационному оборудованию рубежей и позиций; </w:t>
            </w:r>
            <w:proofErr w:type="gramEnd"/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позиций, и увечьем (ранением, травмой,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нием и воспитанием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13. Сведения о размере единовременного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нии или прерывании беременности (при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циальной помощи, в том числе на основании социального контракта,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щиной гражданства Российской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ем (усыновлением)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чиваемой лицам, обучающимся по очной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дано не позднее шести месяцев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ществляется с месяца рождения ребенка.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28.12.2017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418-ФЗ «О ежемесячных выплатах семьям, им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</w:t>
            </w:r>
            <w:proofErr w:type="gramStart"/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дам (в том числе детям-инвалидам), имеющим транспортные средства в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095E32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1F68"/>
    <w:rsid w:val="002E5009"/>
    <w:rsid w:val="00324695"/>
    <w:rsid w:val="00363501"/>
    <w:rsid w:val="00386B90"/>
    <w:rsid w:val="003E15DB"/>
    <w:rsid w:val="003E2676"/>
    <w:rsid w:val="003E4E0C"/>
    <w:rsid w:val="0041064A"/>
    <w:rsid w:val="00445534"/>
    <w:rsid w:val="00473F7A"/>
    <w:rsid w:val="00492850"/>
    <w:rsid w:val="004A2EDD"/>
    <w:rsid w:val="004A7067"/>
    <w:rsid w:val="004D087A"/>
    <w:rsid w:val="00514533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67AEF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B0BFA"/>
    <w:rsid w:val="009B22C8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58B6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E3BCBF-995C-47DE-B822-12F5F20F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13404</Words>
  <Characters>76408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Прокопьева Анастасия Романовна</cp:lastModifiedBy>
  <cp:revision>3</cp:revision>
  <cp:lastPrinted>2025-08-06T06:26:00Z</cp:lastPrinted>
  <dcterms:created xsi:type="dcterms:W3CDTF">2026-05-13T05:48:00Z</dcterms:created>
  <dcterms:modified xsi:type="dcterms:W3CDTF">2026-05-13T07:33:00Z</dcterms:modified>
</cp:coreProperties>
</file>