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02139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8272,36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7696,47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7120,58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5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6544,56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 пенсии ГПО – 1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,00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II группа -  2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3560,30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31413,73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9259,65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7120,58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6492,21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1989,61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7487,0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3</w:t>
            </w:r>
            <w:r w:rsidR="00021390">
              <w:rPr>
                <w:rFonts w:ascii="Times New Roman" w:hAnsi="Times New Roman" w:cs="Times New Roman"/>
                <w:sz w:val="20"/>
                <w:szCs w:val="20"/>
              </w:rPr>
              <w:t>2984,40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784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4437">
              <w:rPr>
                <w:rFonts w:ascii="Times New Roman" w:hAnsi="Times New Roman" w:cs="Times New Roman"/>
                <w:sz w:val="20"/>
                <w:szCs w:val="20"/>
              </w:rPr>
              <w:t>8848,24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  <w:proofErr w:type="gramEnd"/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стижения и особые заслуги </w:t>
            </w: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Соц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алистического Труда, Г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пеней, гражданам,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ком отличия ордена Св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того Георгия - Георгие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ским Крестом четырех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степеней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DA7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A7CB9">
              <w:rPr>
                <w:rFonts w:ascii="Times New Roman" w:hAnsi="Times New Roman" w:cs="Times New Roman"/>
                <w:sz w:val="20"/>
                <w:szCs w:val="20"/>
              </w:rPr>
              <w:t>9 110,10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награждения (присвоения звания) прав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мочного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назнач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2E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180A" w:rsidRPr="002E180A">
              <w:rPr>
                <w:rFonts w:ascii="Times New Roman" w:hAnsi="Times New Roman" w:cs="Times New Roman"/>
                <w:sz w:val="20"/>
                <w:szCs w:val="20"/>
              </w:rPr>
              <w:t>5340</w:t>
            </w:r>
            <w:r w:rsidRPr="002E18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180A" w:rsidRPr="002E180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ской премии, лауреатам государственных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3C3E50" w:rsidRPr="006E08A6" w:rsidRDefault="00DA7CB9" w:rsidP="00DA7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31099,60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ществлявшим подготовку таких чемпионов и вх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дившим в состав сборных (олимпийских,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DA7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7CB9">
              <w:rPr>
                <w:rFonts w:ascii="Times New Roman" w:hAnsi="Times New Roman" w:cs="Times New Roman"/>
                <w:sz w:val="20"/>
                <w:szCs w:val="20"/>
              </w:rPr>
              <w:t>3560,30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1.5. В случае представления интересов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путем деления ежемесячной денежной выплаты, предусмотренной для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Героя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публики, Луганской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Республики в боевых действиях 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пенсионного и 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Военнослужащий или гражданин, призванный 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ществлении выплаты ежемесячной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денежной компенсации,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нина, призванного на военные сборы, 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назначении ежемесячной денежной ко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 умершим инвалидом военной травмы 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лефонных соединений (разговоров), с учетом 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ших месяцев.</w:t>
            </w:r>
            <w:proofErr w:type="gramEnd"/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нения с военной службы (службы в войсках, органах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власти, погибших (умерших, объявленных умершими, признанных безвестно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МЧС России, учреждений и органов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семей граждан, проходивших военную службу по контракту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документов на основании договоров,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ральным законом «Об обороне», принимавших участие в специальной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ины, ДНР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НР,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проез</w:t>
            </w:r>
            <w:proofErr w:type="spell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-дом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оплаты пр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езда лиц, ук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занных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на 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хождения санаторно-курортного лечения и медицинской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5F2DEA" w:rsidTr="00A152FE">
        <w:tc>
          <w:tcPr>
            <w:tcW w:w="531" w:type="dxa"/>
          </w:tcPr>
          <w:p w:rsidR="005F2DEA" w:rsidRPr="007F7D30" w:rsidRDefault="005F2DEA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тации и отдельных категорий граждан из числа ветеранов пр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F2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5F2DEA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абилитации;</w:t>
            </w: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  <w:bookmarkStart w:id="0" w:name="_GoBack"/>
            <w:bookmarkEnd w:id="0"/>
          </w:p>
        </w:tc>
        <w:tc>
          <w:tcPr>
            <w:tcW w:w="2360" w:type="dxa"/>
            <w:shd w:val="clear" w:color="auto" w:fill="auto"/>
          </w:tcPr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стоятельно с использ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Заключение врачебной комиссии для ветерана.                                                                          </w:t>
            </w: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Для оформления электронного сертифик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действующая банковская ка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Срок принятия решения о прио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ретении технического средства (изделия) и (или) услуге по его ремонту с использованием эле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тронного сертификата в течени</w:t>
            </w:r>
            <w:proofErr w:type="gramStart"/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F2DEA">
              <w:rPr>
                <w:rFonts w:ascii="Times New Roman" w:hAnsi="Times New Roman" w:cs="Times New Roman"/>
                <w:sz w:val="20"/>
                <w:szCs w:val="20"/>
              </w:rPr>
              <w:t xml:space="preserve"> 2 рабочих дней</w:t>
            </w: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- при наличии действующего государственного контракта срок выдачи направления на получ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ние ТСР в срок не более 10 раб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чих дней, 5 дней – для палли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 xml:space="preserve">тивных больных; </w:t>
            </w: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- при отсутствии действующего контракта в течение 5 рабочих со дня заключения государственн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го контракта и после подтве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ждения соответствия техническ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го средства (изделия) условиям государственного контракта.</w:t>
            </w:r>
          </w:p>
        </w:tc>
        <w:tc>
          <w:tcPr>
            <w:tcW w:w="1415" w:type="dxa"/>
            <w:shd w:val="clear" w:color="auto" w:fill="auto"/>
          </w:tcPr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24.11.1995 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181-ФЗ «О социальной защите инв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br/>
              <w:t>№ 5-ФЗ «О ветеранах»</w:t>
            </w: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DEA" w:rsidRPr="005F2DEA" w:rsidRDefault="005F2DEA" w:rsidP="0070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2DEA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Федерации установлена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единовременная выплата при получении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сти, получено в период с 24.02.2022 до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щего, работника, привлеченного лица,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служащего, работника, выполняющего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ях отдельным категориям 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ториях Донецкой Народной Республики, Республики Крым, Луганской Народной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Республики, Краснодарского края, Белг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нежской области, Запорожской области, Курской области, Ростовской области, Херсонской области и г. Севастополя,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Народной Республики, Республики Крым, Луганской Народной Республики, Краснодарского края, Белгородской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ному оборудованию рубежей и позиций, 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и Херсонской 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дированным)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службы, работника организации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 в связи с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чины и степени тяжести ранения, травмы,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контузии;</w:t>
            </w:r>
            <w:proofErr w:type="gramEnd"/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полняющим работы на территориях отдельных субъектов Российской Федерации, и членам 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ные и неполнородные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ственного предприятия;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ектах Российской Федерации",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пунктом 1.1 статьи 17.1 Федерального закона 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№ 356 «Об утверждении Правил назначения и выплаты компенсации,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военную службу по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 или объективные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Сведения о жилом помещении, жилом здании, строении и  доме, земельном участке (земельных участках),  предоста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Доходы мобилизованных граждан при расчете среднедушевого дохода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дерации, проживающие на ее территории, а также иностранные граждане,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ботка, на который начисляются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ставлении: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центов от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мых инвалидами и транспортных средств, перевозящих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движению любой степени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1390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180A"/>
    <w:rsid w:val="002E5009"/>
    <w:rsid w:val="00324695"/>
    <w:rsid w:val="00325C56"/>
    <w:rsid w:val="00363501"/>
    <w:rsid w:val="00386B90"/>
    <w:rsid w:val="003C3E50"/>
    <w:rsid w:val="003E15DB"/>
    <w:rsid w:val="003E4E0C"/>
    <w:rsid w:val="0041064A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E24FC"/>
    <w:rsid w:val="005F2DEA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51CD3"/>
    <w:rsid w:val="007672B3"/>
    <w:rsid w:val="00772595"/>
    <w:rsid w:val="00780E9B"/>
    <w:rsid w:val="00784437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A6AF1"/>
    <w:rsid w:val="00AB5716"/>
    <w:rsid w:val="00AD224C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3C20"/>
    <w:rsid w:val="00CD01A4"/>
    <w:rsid w:val="00CD07BF"/>
    <w:rsid w:val="00CE6402"/>
    <w:rsid w:val="00D00F1B"/>
    <w:rsid w:val="00D113BA"/>
    <w:rsid w:val="00D72CCF"/>
    <w:rsid w:val="00D87814"/>
    <w:rsid w:val="00D9466A"/>
    <w:rsid w:val="00DA7CB9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ECF414-C526-4B3E-B2C1-606B07D1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40</Pages>
  <Words>13764</Words>
  <Characters>78460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Белова Анна Юрьевна</cp:lastModifiedBy>
  <cp:revision>7</cp:revision>
  <cp:lastPrinted>2025-08-06T06:26:00Z</cp:lastPrinted>
  <dcterms:created xsi:type="dcterms:W3CDTF">2026-02-03T10:29:00Z</dcterms:created>
  <dcterms:modified xsi:type="dcterms:W3CDTF">2026-06-25T11:04:00Z</dcterms:modified>
</cp:coreProperties>
</file>