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42" w:rsidRDefault="00796B42" w:rsidP="00796B42">
      <w:pPr>
        <w:pStyle w:val="Style8"/>
        <w:widowControl/>
        <w:spacing w:before="57"/>
        <w:ind w:right="3"/>
        <w:rPr>
          <w:rStyle w:val="FontStyle18"/>
        </w:rPr>
      </w:pPr>
      <w:bookmarkStart w:id="0" w:name="_GoBack"/>
      <w:bookmarkEnd w:id="0"/>
    </w:p>
    <w:p w:rsidR="00796B42" w:rsidRPr="00796B42" w:rsidRDefault="00796B42" w:rsidP="00796B42">
      <w:pPr>
        <w:pStyle w:val="Style8"/>
        <w:widowControl/>
        <w:spacing w:before="57" w:line="240" w:lineRule="auto"/>
        <w:ind w:right="3"/>
        <w:jc w:val="center"/>
        <w:rPr>
          <w:rStyle w:val="FontStyle18"/>
          <w:b/>
        </w:rPr>
      </w:pPr>
      <w:r w:rsidRPr="00796B42">
        <w:rPr>
          <w:rStyle w:val="FontStyle18"/>
          <w:b/>
        </w:rPr>
        <w:t>Внимание страхователю</w:t>
      </w:r>
    </w:p>
    <w:p w:rsidR="00796B42" w:rsidRPr="00796B42" w:rsidRDefault="00796B42" w:rsidP="00796B42">
      <w:pPr>
        <w:pStyle w:val="Style8"/>
        <w:widowControl/>
        <w:spacing w:before="57" w:line="240" w:lineRule="auto"/>
        <w:ind w:right="3"/>
        <w:jc w:val="center"/>
        <w:rPr>
          <w:rStyle w:val="FontStyle18"/>
          <w:b/>
        </w:rPr>
      </w:pPr>
      <w:r w:rsidRPr="00796B42">
        <w:rPr>
          <w:rStyle w:val="FontStyle18"/>
          <w:b/>
        </w:rPr>
        <w:t>Акт формы Н-1С</w:t>
      </w:r>
    </w:p>
    <w:p w:rsidR="00796B42" w:rsidRDefault="00796B42" w:rsidP="00796B42">
      <w:pPr>
        <w:pStyle w:val="Style8"/>
        <w:widowControl/>
        <w:spacing w:before="57" w:line="240" w:lineRule="auto"/>
        <w:ind w:right="3"/>
        <w:rPr>
          <w:rStyle w:val="FontStyle18"/>
        </w:rPr>
      </w:pPr>
      <w:proofErr w:type="gramStart"/>
      <w:r>
        <w:rPr>
          <w:rStyle w:val="FontStyle18"/>
        </w:rPr>
        <w:t>Отделение пенсионного и социального страхования Российской Федерации  по Тульской области (далее – Отделение) информирует о приказе Министерства труда и социальной защиты Российской Федерации от 25 апреля 2024 г. № 237н «О внесении изменений в приложения № 1 и № 2 к приказу Министерства труда и социальной защиты Российской Федерации от 20 апреля 2022 г. № 223н «Об утверждении Положения об особенностях расследования несчастных случаев на</w:t>
      </w:r>
      <w:proofErr w:type="gramEnd"/>
      <w:r>
        <w:rPr>
          <w:rStyle w:val="FontStyle18"/>
        </w:rPr>
        <w:t xml:space="preserve"> </w:t>
      </w:r>
      <w:proofErr w:type="gramStart"/>
      <w:r>
        <w:rPr>
          <w:rStyle w:val="FontStyle18"/>
        </w:rPr>
        <w:t>производстве</w:t>
      </w:r>
      <w:proofErr w:type="gramEnd"/>
      <w:r>
        <w:rPr>
          <w:rStyle w:val="FontStyle18"/>
        </w:rPr>
        <w:t xml:space="preserve">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 </w:t>
      </w:r>
    </w:p>
    <w:p w:rsidR="00796B42" w:rsidRDefault="00796B42" w:rsidP="00796B42">
      <w:pPr>
        <w:pStyle w:val="Style8"/>
        <w:widowControl/>
        <w:spacing w:before="57" w:line="240" w:lineRule="auto"/>
        <w:ind w:right="3"/>
        <w:rPr>
          <w:rStyle w:val="FontStyle18"/>
        </w:rPr>
      </w:pPr>
      <w:r>
        <w:rPr>
          <w:rStyle w:val="FontStyle18"/>
        </w:rPr>
        <w:t>Приказ № 237 вступает в силу с 1 сентября 2024 г. и действует до 1 сентября 2028 г.</w:t>
      </w:r>
    </w:p>
    <w:p w:rsidR="00796B42" w:rsidRDefault="00796B42" w:rsidP="00796B42">
      <w:pPr>
        <w:pStyle w:val="Style8"/>
        <w:widowControl/>
        <w:spacing w:line="240" w:lineRule="auto"/>
        <w:ind w:firstLine="708"/>
        <w:rPr>
          <w:rStyle w:val="FontStyle18"/>
        </w:rPr>
      </w:pPr>
      <w:r>
        <w:rPr>
          <w:rStyle w:val="FontStyle18"/>
        </w:rPr>
        <w:t xml:space="preserve">Приказом № 237н внесены изменения в Положение об особенностях расследования несчастных случаев на производстве в отдельных отраслях и организациях, утвержденное приказом Минтруда России от 20 апреля 2022 г. № 223н. </w:t>
      </w:r>
      <w:proofErr w:type="gramStart"/>
      <w:r>
        <w:rPr>
          <w:rStyle w:val="FontStyle18"/>
        </w:rPr>
        <w:t>В частности, установлены порядок и условия составления акта о несчастном случае на производстве формы Н-1С, когда продлевается срок расследования несчастного случая в соответствии с предложением вторым части третьей   статьи   229.1   Трудового   кодекса   Российской   Федерации при необходимости рассмотрения обстоятельств несчастного случая в организациях, осуществляющих экспертизу, органах дознания, органах следствия или в суде, не влияющих на квалификацию несчастного случая как несчастного случая</w:t>
      </w:r>
      <w:proofErr w:type="gramEnd"/>
      <w:r>
        <w:rPr>
          <w:rStyle w:val="FontStyle18"/>
        </w:rPr>
        <w:t xml:space="preserve"> на производстве.</w:t>
      </w:r>
    </w:p>
    <w:p w:rsidR="00796B42" w:rsidRDefault="00796B42" w:rsidP="00796B42">
      <w:pPr>
        <w:pStyle w:val="Style8"/>
        <w:widowControl/>
        <w:spacing w:line="240" w:lineRule="auto"/>
        <w:ind w:left="720" w:firstLine="0"/>
        <w:jc w:val="left"/>
        <w:rPr>
          <w:rStyle w:val="FontStyle18"/>
        </w:rPr>
      </w:pPr>
      <w:r>
        <w:rPr>
          <w:rStyle w:val="FontStyle18"/>
        </w:rPr>
        <w:t>Обращаем внимание:</w:t>
      </w:r>
    </w:p>
    <w:p w:rsidR="00796B42" w:rsidRDefault="00796B42" w:rsidP="00796B42">
      <w:pPr>
        <w:pStyle w:val="Style11"/>
        <w:widowControl/>
        <w:numPr>
          <w:ilvl w:val="0"/>
          <w:numId w:val="1"/>
        </w:numPr>
        <w:tabs>
          <w:tab w:val="left" w:pos="1138"/>
        </w:tabs>
        <w:spacing w:line="240" w:lineRule="auto"/>
        <w:rPr>
          <w:rStyle w:val="FontStyle18"/>
        </w:rPr>
      </w:pPr>
      <w:proofErr w:type="gramStart"/>
      <w:r>
        <w:rPr>
          <w:rStyle w:val="FontStyle18"/>
        </w:rPr>
        <w:t>Акт формы Н-1С оформляется и утверждается работодателем (его представителем) по письменному единогласному решению комиссии (государственного инспектора труда при проведении самостоятельного расследования несчастного случая), согласованному с руководителем государственной инспекции труда - главным государственным инспектором труда в субъекте Российской Федерации (за исключением легких несчастных случаев) и страховщиком, определяющими целесообразность принимаемого решения, с оформлением в произвольной форме протокола заседания комиссии (письменного решения государственного инспектора</w:t>
      </w:r>
      <w:proofErr w:type="gramEnd"/>
      <w:r>
        <w:rPr>
          <w:rStyle w:val="FontStyle18"/>
        </w:rPr>
        <w:t xml:space="preserve"> труда при проведении самостоятельного расследования несчастного случая, содержащего позиции привлекаемых лиц) с указанием оснований принятого решения (причин продления расследования несчастного случая) при установлении комиссией (государственным инспектором труда при проведении самостоятельного расследования несчастного случая) причинно-следственной связи между гибелью (травмой) работника и исполнением им трудовых обязанностей.</w:t>
      </w:r>
    </w:p>
    <w:p w:rsidR="00796B42" w:rsidRDefault="00796B42" w:rsidP="00796B42">
      <w:pPr>
        <w:pStyle w:val="Style8"/>
        <w:widowControl/>
        <w:spacing w:before="5" w:line="240" w:lineRule="auto"/>
        <w:ind w:firstLine="710"/>
        <w:rPr>
          <w:rStyle w:val="FontStyle18"/>
        </w:rPr>
      </w:pPr>
      <w:r>
        <w:rPr>
          <w:rStyle w:val="FontStyle18"/>
        </w:rPr>
        <w:t>Согласование принимаемого решения от имени страховщика осуществляется руководителем отделения СФР (управляющим отделением СФР или его уполномоченным заместителем), которое принимает участие в расследовании несчастного случая. Если участие в расследовании осуществляется по ходатайству другого отделения СФР, то отделение СФР, которое принимает участие в расследовании несчастного случая, обязано согласовать свое решение с указанным отделением СФР.</w:t>
      </w:r>
    </w:p>
    <w:p w:rsidR="00796B42" w:rsidRDefault="00796B42" w:rsidP="00796B42">
      <w:pPr>
        <w:pStyle w:val="Style11"/>
        <w:widowControl/>
        <w:numPr>
          <w:ilvl w:val="0"/>
          <w:numId w:val="3"/>
        </w:numPr>
        <w:tabs>
          <w:tab w:val="left" w:pos="1416"/>
        </w:tabs>
        <w:spacing w:before="5" w:line="240" w:lineRule="auto"/>
        <w:rPr>
          <w:rStyle w:val="FontStyle18"/>
        </w:rPr>
      </w:pPr>
      <w:r>
        <w:rPr>
          <w:rStyle w:val="FontStyle18"/>
        </w:rPr>
        <w:t xml:space="preserve">Принятое решение должно быть зафиксировано в протоколе заседания комиссии (письменном решении государственного инспектора труда </w:t>
      </w:r>
      <w:r>
        <w:rPr>
          <w:rStyle w:val="FontStyle18"/>
        </w:rPr>
        <w:lastRenderedPageBreak/>
        <w:t xml:space="preserve">при проведении самостоятельного расследования несчастного случая). </w:t>
      </w:r>
      <w:proofErr w:type="gramStart"/>
      <w:r>
        <w:rPr>
          <w:rStyle w:val="FontStyle18"/>
        </w:rPr>
        <w:t>При несогласии одного из членов комиссии (включая председателя комиссии) или лиц, привлекаемых к расследованию государственного инспектора труда, в составлении акта формы Н-1С и (или) отсутствии согласования руководителя государственной инспекции труда - главного государственного инспектора труда в субъекте Российской Федерации и (или) страховщика, в указанном протоколе делается соответствующая запись, и расследование несчастного случая проводится в порядке, установленном ТК РФ и Положением, без</w:t>
      </w:r>
      <w:proofErr w:type="gramEnd"/>
      <w:r>
        <w:rPr>
          <w:rStyle w:val="FontStyle18"/>
        </w:rPr>
        <w:t xml:space="preserve"> учета отдельных особенностей.</w:t>
      </w:r>
    </w:p>
    <w:p w:rsidR="00796B42" w:rsidRDefault="00796B42" w:rsidP="00796B42">
      <w:pPr>
        <w:pStyle w:val="Style11"/>
        <w:widowControl/>
        <w:numPr>
          <w:ilvl w:val="0"/>
          <w:numId w:val="3"/>
        </w:numPr>
        <w:tabs>
          <w:tab w:val="left" w:pos="1277"/>
        </w:tabs>
        <w:spacing w:before="5" w:line="240" w:lineRule="auto"/>
        <w:ind w:right="10"/>
        <w:rPr>
          <w:rStyle w:val="FontStyle18"/>
        </w:rPr>
      </w:pPr>
      <w:proofErr w:type="gramStart"/>
      <w:r>
        <w:rPr>
          <w:rStyle w:val="FontStyle18"/>
        </w:rPr>
        <w:t>Акт формы Н-1С вместе с документами, подтверждающими причинно-следственную связь между гибелью (травмой) работника или другого лица, указанного в частях первой и второй статьи 227 ТК РФ, в течение трех календарных дней со дня утверждения направляется работодателем (его представителем) в исполнительный орган страховщика (по месту регистрации работодателя в качестве страхователя) для рассмотрения вопроса о назначении соответствующего обеспечения по страхованию.</w:t>
      </w:r>
      <w:proofErr w:type="gramEnd"/>
    </w:p>
    <w:p w:rsidR="00796B42" w:rsidRDefault="00796B42" w:rsidP="00796B42">
      <w:pPr>
        <w:pStyle w:val="Style11"/>
        <w:widowControl/>
        <w:tabs>
          <w:tab w:val="left" w:pos="1138"/>
        </w:tabs>
        <w:spacing w:line="240" w:lineRule="auto"/>
        <w:ind w:right="10" w:firstLine="710"/>
        <w:rPr>
          <w:rStyle w:val="FontStyle18"/>
        </w:rPr>
      </w:pPr>
      <w:r>
        <w:rPr>
          <w:rStyle w:val="FontStyle18"/>
        </w:rPr>
        <w:t>4.</w:t>
      </w:r>
      <w:r>
        <w:rPr>
          <w:rStyle w:val="FontStyle18"/>
        </w:rPr>
        <w:tab/>
      </w:r>
      <w:proofErr w:type="gramStart"/>
      <w:r>
        <w:rPr>
          <w:rStyle w:val="FontStyle18"/>
        </w:rPr>
        <w:t>После оформления и утверждения работодателем (его представителем) акта формы Н-1С расследование несчастного случая продолжается в целях установления в соответствии с требованиями части пятой статьи 229.2 ТК РФ причин несчастного случая, лиц, допустивших нарушения требований охраны труда и (или) иных федеральных законов и нормативных правовых актов, устанавливающих требования безопасности в соответствующей сфере деятельности, выработки предложений по устранению выявленных нарушений, причин несчастного</w:t>
      </w:r>
      <w:proofErr w:type="gramEnd"/>
      <w:r>
        <w:rPr>
          <w:rStyle w:val="FontStyle18"/>
        </w:rPr>
        <w:t xml:space="preserve"> случая и предупреждению аналогичных несчастных случаев. По результатам расследований оформляются акты о расследовании несчастного случая (за исключением легких несчастных случаев) и акты о несчастном случае на производстве формы Н-1 с приложением соответствующих материалов, определенных ТК РФ и Положением, включая акты формы Н-1С.</w:t>
      </w:r>
    </w:p>
    <w:p w:rsidR="00796B42" w:rsidRDefault="00796B42" w:rsidP="00796B42">
      <w:pPr>
        <w:pStyle w:val="Style8"/>
        <w:widowControl/>
        <w:spacing w:line="240" w:lineRule="auto"/>
        <w:ind w:firstLine="715"/>
        <w:rPr>
          <w:rStyle w:val="FontStyle18"/>
        </w:rPr>
      </w:pPr>
      <w:r>
        <w:rPr>
          <w:rStyle w:val="FontStyle18"/>
        </w:rPr>
        <w:t>5. В зависимости от конкретных обстоятельств, предусмотренных частью шестой статьи 229.2 ТК РФ, несчастный случай может квалифицироваться как несчастный случай, не связанный с производством. В этом случае акт формы Н-1С признается утратившим силу на основании решения работодателя (его представителя), принятого в соответствии с решением комиссии или государственного инспектора труда (при проведении им самостоятельного расследования несчастного случая). Решение работодателя (его представителя) о признании утратившим силу акта формы Н-1С с приложением указанного акта в течение трех календарных дней со дня принятия решения направляется работодателем (его представителем) в исполнительный орган страховщика (по месту регистрации работодателя в качестве страхователя).</w:t>
      </w:r>
    </w:p>
    <w:p w:rsidR="00796B42" w:rsidRDefault="00796B42" w:rsidP="00796B42">
      <w:pPr>
        <w:pStyle w:val="Style9"/>
        <w:widowControl/>
        <w:ind w:left="8400"/>
        <w:rPr>
          <w:sz w:val="20"/>
          <w:szCs w:val="20"/>
        </w:rPr>
      </w:pPr>
    </w:p>
    <w:p w:rsidR="00796B42" w:rsidRPr="00BD2AFA" w:rsidRDefault="00796B42" w:rsidP="00796B42">
      <w:pPr>
        <w:tabs>
          <w:tab w:val="left" w:pos="2190"/>
        </w:tabs>
        <w:rPr>
          <w:sz w:val="27"/>
          <w:szCs w:val="27"/>
        </w:rPr>
      </w:pPr>
    </w:p>
    <w:p w:rsidR="003706E3" w:rsidRDefault="003706E3"/>
    <w:sectPr w:rsidR="003706E3" w:rsidSect="00796B42">
      <w:pgSz w:w="11906" w:h="16838"/>
      <w:pgMar w:top="34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08B"/>
    <w:multiLevelType w:val="singleLevel"/>
    <w:tmpl w:val="E5B011E6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>
    <w:nsid w:val="6E417866"/>
    <w:multiLevelType w:val="singleLevel"/>
    <w:tmpl w:val="03E6E656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42"/>
    <w:rsid w:val="003706E3"/>
    <w:rsid w:val="00796B42"/>
    <w:rsid w:val="00E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96B42"/>
    <w:pPr>
      <w:widowControl w:val="0"/>
      <w:suppressAutoHyphens w:val="0"/>
      <w:autoSpaceDE w:val="0"/>
      <w:autoSpaceDN w:val="0"/>
      <w:adjustRightInd w:val="0"/>
      <w:spacing w:line="483" w:lineRule="exact"/>
      <w:ind w:firstLine="711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796B4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796B42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11">
    <w:name w:val="Style11"/>
    <w:basedOn w:val="a"/>
    <w:uiPriority w:val="99"/>
    <w:rsid w:val="00796B42"/>
    <w:pPr>
      <w:widowControl w:val="0"/>
      <w:suppressAutoHyphens w:val="0"/>
      <w:autoSpaceDE w:val="0"/>
      <w:autoSpaceDN w:val="0"/>
      <w:adjustRightInd w:val="0"/>
      <w:spacing w:line="483" w:lineRule="exact"/>
      <w:ind w:firstLine="715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96B42"/>
    <w:pPr>
      <w:widowControl w:val="0"/>
      <w:suppressAutoHyphens w:val="0"/>
      <w:autoSpaceDE w:val="0"/>
      <w:autoSpaceDN w:val="0"/>
      <w:adjustRightInd w:val="0"/>
      <w:spacing w:line="483" w:lineRule="exact"/>
      <w:ind w:firstLine="711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796B4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796B42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11">
    <w:name w:val="Style11"/>
    <w:basedOn w:val="a"/>
    <w:uiPriority w:val="99"/>
    <w:rsid w:val="00796B42"/>
    <w:pPr>
      <w:widowControl w:val="0"/>
      <w:suppressAutoHyphens w:val="0"/>
      <w:autoSpaceDE w:val="0"/>
      <w:autoSpaceDN w:val="0"/>
      <w:adjustRightInd w:val="0"/>
      <w:spacing w:line="483" w:lineRule="exact"/>
      <w:ind w:firstLine="715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Паливода Елена Васильевна</dc:creator>
  <cp:lastModifiedBy>Лиханова Наталия Сергеевна</cp:lastModifiedBy>
  <cp:revision>2</cp:revision>
  <cp:lastPrinted>2024-07-15T06:36:00Z</cp:lastPrinted>
  <dcterms:created xsi:type="dcterms:W3CDTF">2024-07-18T06:59:00Z</dcterms:created>
  <dcterms:modified xsi:type="dcterms:W3CDTF">2024-07-18T06:59:00Z</dcterms:modified>
</cp:coreProperties>
</file>