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9921"/>
        <w:spacing w:after="0" w:afterAutospacing="0" w:line="240" w:lineRule="auto"/>
        <w:rPr>
          <w:rFonts w:ascii="PT Astra Serif" w:hAnsi="PT Astra Serif" w:cs="PT Astra Serif"/>
          <w:b w:val="0"/>
          <w:bCs w:val="0"/>
          <w:sz w:val="32"/>
          <w:szCs w:val="32"/>
        </w:rPr>
        <w:suppressLineNumbers w:val="0"/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Приложение </w:t>
      </w:r>
      <w:r>
        <w:rPr>
          <w:rFonts w:ascii="PT Astra Serif" w:hAnsi="PT Astra Serif" w:cs="PT Astra Serif"/>
          <w:b w:val="0"/>
          <w:bCs w:val="0"/>
          <w:sz w:val="32"/>
          <w:szCs w:val="32"/>
        </w:rPr>
      </w:r>
      <w:r>
        <w:rPr>
          <w:rFonts w:ascii="PT Astra Serif" w:hAnsi="PT Astra Serif" w:eastAsia="PT Astra Serif" w:cs="PT Astra Serif"/>
          <w:b w:val="0"/>
          <w:bCs w:val="0"/>
          <w:sz w:val="24"/>
          <w:szCs w:val="24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32"/>
          <w:szCs w:val="32"/>
        </w:rPr>
      </w:r>
    </w:p>
    <w:p>
      <w:pPr>
        <w:ind w:right="0"/>
        <w:jc w:val="left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right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ПЕРЕЧЕНЬ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РЕГИОНАЛЬНЫХ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ЛЬГОТ И МЕР СОЦИАЛЬНОЙ ПОДДЕРЖКИ, ПРЕДОСТАВЛЯЕМЫХ 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right="0"/>
        <w:jc w:val="center"/>
        <w:spacing w:after="0" w:line="240" w:lineRule="auto"/>
        <w:rPr>
          <w:rFonts w:ascii="PT Astra Serif" w:hAnsi="PT Astra Serif" w:cs="PT Astra Serif"/>
          <w:b/>
          <w:bCs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НА ТЕРРИТОРИИ 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УДМУРТСК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ОЙ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РЕСПУБЛИКИ ВОЕННОСЛУЖАЩИМ</w:t>
      </w:r>
      <w:r>
        <w:rPr>
          <w:rFonts w:ascii="PT Astra Serif" w:hAnsi="PT Astra Serif" w:eastAsia="PT Astra Serif" w:cs="PT Astra Serif"/>
          <w:b/>
          <w:sz w:val="24"/>
          <w:szCs w:val="24"/>
        </w:rPr>
        <w:t xml:space="preserve"> И ЧЛЕНАМ ИХ СЕМЕЙ</w:t>
      </w:r>
      <w:r>
        <w:rPr>
          <w:rFonts w:ascii="PT Astra Serif" w:hAnsi="PT Astra Serif" w:cs="PT Astra Serif"/>
          <w:b/>
          <w:bCs/>
          <w:sz w:val="24"/>
          <w:szCs w:val="24"/>
        </w:rPr>
      </w:r>
      <w:r>
        <w:rPr>
          <w:rFonts w:ascii="PT Astra Serif" w:hAnsi="PT Astra Serif" w:cs="PT Astra Serif"/>
          <w:b/>
          <w:bCs/>
          <w:sz w:val="24"/>
          <w:szCs w:val="24"/>
        </w:rPr>
      </w:r>
    </w:p>
    <w:p>
      <w:pPr>
        <w:ind w:right="0"/>
        <w:jc w:val="center"/>
        <w:spacing w:after="0" w:line="240" w:lineRule="auto"/>
        <w:rPr>
          <w:rFonts w:ascii="PT Astra Serif" w:hAnsi="PT Astra Serif" w:cs="PT Astra Serif"/>
          <w:b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  <w:r>
        <w:rPr>
          <w:rFonts w:ascii="PT Astra Serif" w:hAnsi="PT Astra Serif" w:cs="PT Astra Serif"/>
          <w:b/>
          <w:sz w:val="24"/>
          <w:szCs w:val="24"/>
        </w:rPr>
      </w:r>
    </w:p>
    <w:tbl>
      <w:tblPr>
        <w:tblStyle w:val="863"/>
        <w:tblW w:w="1445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67"/>
        <w:gridCol w:w="2477"/>
        <w:gridCol w:w="7385"/>
        <w:gridCol w:w="4028"/>
      </w:tblGrid>
      <w:tr>
        <w:tblPrEx/>
        <w:trPr/>
        <w:tc>
          <w:tcPr>
            <w:tcW w:w="56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№ п/п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vAlign w:val="center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Ответственное ведомство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7385" w:type="dxa"/>
            <w:vAlign w:val="center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равовые акты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, которыми установлены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льготы и меры социальной поддержки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 w:firstLine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</w:rPr>
              <w:t xml:space="preserve">Управление Федеральной налоговой службы по Удмуртской Республике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Налоговые льготы по транспортному налогу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Инвалиды боевых действий, которым оказываются меры социальной поддержки в соответствии с Федеральным </w:t>
            </w:r>
            <w:hyperlink r:id="rId11" w:tooltip="consultantplus://offline/ref=1EE389C0AF8615065B1E2472540ECC8A700EF6FA5D729F072EA2E16D4D64253412920D5D5DB45384714C6D4180u733I" w:history="1">
              <w:r>
                <w:rPr>
                  <w:rFonts w:ascii="PT Astra Serif" w:hAnsi="PT Astra Serif" w:eastAsia="PT Astra Serif" w:cs="PT Astra Serif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 ветеранах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освобождаются от уплаты налога по одному транспортному средству, мощность двигателя которого не превышает 150 лошадиных сил (110,33 кВт) включительно.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Ветераны боевых действий, которым оказываются меры социальной поддержки в соответствии с Федеральным </w:t>
            </w:r>
            <w:hyperlink r:id="rId12" w:tooltip="consultantplus://offline/ref=EDDF35E53AD3E6D94F461CE2F5582A0DD0639624D18203DF51DED4050904C0AE1E128A0465D50825B9EF200FD9E54EI" w:history="1">
              <w:r>
                <w:rPr>
                  <w:rFonts w:ascii="PT Astra Serif" w:hAnsi="PT Astra Serif" w:eastAsia="PT Astra Serif" w:cs="PT Astra Serif"/>
                  <w:sz w:val="24"/>
                  <w:szCs w:val="24"/>
                </w:rPr>
                <w:t xml:space="preserve">законом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 ветерана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уплачивают транспортный налог по одному транспортному средству, мощность двигателя которого не превышает 150 лошадиных сил (110,33 кВт), по ставке 50 процентов от размера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соответствующей ста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вки налога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Закон 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27.11.2002 № 63-РЗ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«О транспортном налоге в Удмуртской Республике»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t xml:space="preserve">Главное управление юстиции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Право на получение бесплатной юридической помощи в рамках государственной системы бесплатной юридической помощи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 w:firstLine="743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Предусмотрено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право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следующих категорий граждан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на получение всех видо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бесплатной юридической помощи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в рамках государственной систем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ы бесплатной юридической помощи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13" w:tooltip="consultantplus://offline/ref=DB357B178F0A84F0F26746C6CE32720557A4B1B4E3DFA5615A1813E55B07A5C4A043B2B95B6966416E79F7FB566F9583BE5CD59E78D8AD12iDyDH" w:history="1">
              <w:r>
                <w:rPr>
                  <w:rFonts w:ascii="PT Astra Serif" w:hAnsi="PT Astra Serif" w:eastAsia="PT Astra Serif" w:cs="PT Astra Serif"/>
                  <w:sz w:val="24"/>
                  <w:szCs w:val="24"/>
                  <w:highlight w:val="white"/>
                </w:rPr>
                <w:t xml:space="preserve">пункте 6 статьи 1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Федерального закона от 31.05.1996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61-ФЗ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Об обороне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Республики, Запорожской области и Херсонской области и (и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ли) выполнения ими задач по отражению вооруженн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возложенных на Вооруженные Силы Российской Федерации или войска национальной гвардии Российской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по отражению вооруженного вторжения 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Федерации, при условии их участия в специальной военной операции на указанных территориях, а также члены семей указанных граждан;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лица, прини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мавшие в соответствии с решениями органов государственной власти Донецкой Народной Республики, Луганской Народной Республик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11.05.2014, 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также члены семей указанных лиц.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 членам семьи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указанны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х категорий граждан относятся родители гражданина (лица), супруг или супруга гражданина (лица), несовершеннолетние дети гражданина (лица) (в том числе усыновленные, удочеренные, пасынки, падчерицы, находящиеся (находившиеся) под опекой (попечительством), 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том числе воспитывающиеся в приемных семьях), а также указанные дети гражданина (лица) в возрасте от 18 до 23 лет при условии их обучения в общеобразовательных организациях, профессиональных образовательных организациях по очной форме обучения или образов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ательных организациях высшего образования, иные лица, находящиеся (находившиеся) под попечительством, на полном содержании гражданина (лица) или получающие (получавшие) от него помощь, которая является (была) для них постоянным и основным источником средст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к существованию, а также иные лица, признанные иждивенцами гражданина (лица) в порядке, предусмотренном законодательством Российской Федерации</w:t>
            </w:r>
            <w:r>
              <w:rPr>
                <w:rFonts w:ascii="PT Astra Serif" w:hAnsi="PT Astra Serif" w:eastAsia="PT Astra Serif" w:cs="PT Astra Serif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Закон Удмуртской Республики от 17.12.2012 № 70-РЗ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«Об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оказании бесплатной юридической помощи в Удмуртской Республике»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(в редакции Закон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07.07.2023 № 67-РЗ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04.06.2024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28-РЗ, от 26.12.2024 № 86-РЗ, от 21.03.2025 №10-РЗ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Министерство экономики Удмуртской Республики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Пониженная налоговая ставка 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при применении упрощенной системы налогообложения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2025 - 2030 годах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установлена 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алогов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ставк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 размере 1% в случае, если объектом налогообложения являются доходы, и налогов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ставк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 размере 5% в случае, если объектом налогообложения являются доходы, уменьшенные на величину расходов, для следующих налогоплательщиков,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применяющих упрощенную систему налогообложения: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индивидуальных предпринимателей, принимающих (принимавших) участие в специальной военной операции;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индивидуальных предпринимателей, являющихся членами семей граждан, принимающих (принимавших) участие в специальной военной операции, в том числе погибших (умерших) в связи с выполнением задач специальной военной операции;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организаций, доля (суммарная доля) участия в уставном (складочном, акционерном) капитале которых одного или нескольких физических лиц, принимающих (п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ринимавших) участие в специальной военной операции, и (или) физических лиц, являющихся членами семьи граждан, принимающих (принимавших) участие в специальной военной операции, в том чи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сле погибших (умерших) в связи с выполнением задач специальной военной 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перации, превышает 50%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PT Astra Serif" w:hAnsi="PT Astra Serif" w:cs="PT Astra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Закон Удмуртской Республики от 29.11.2017 № 66-РЗ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«Об устан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овлении налоговых ставок налогоплательщикам при применении упрощенной системы налогооб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ложения» 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(в редакции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Закона Удмуртской Республики от 26.12.2024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№ 80-РЗ)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Министерство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имущественных отношений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есплатное предоставление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муниципальной собственности, расположенных на территории Удм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уртской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right="0" w:firstLine="743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Категории участников специальной военной операции: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after="0" w:afterAutospacing="0" w:line="240" w:lineRule="auto"/>
              <w:tabs>
                <w:tab w:val="left" w:pos="567" w:leader="none"/>
                <w:tab w:val="left" w:pos="992" w:leader="none"/>
              </w:tabs>
              <w:rPr>
                <w:rFonts w:ascii="PT Astra Serif" w:hAnsi="PT Astra Serif" w:cs="PT Astra Serif"/>
                <w:color w:val="121416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121416"/>
                <w:sz w:val="24"/>
                <w:szCs w:val="24"/>
                <w:highlight w:val="white"/>
              </w:rPr>
              <w:t xml:space="preserve">военнослужащие; </w:t>
            </w:r>
            <w:r>
              <w:rPr>
                <w:rFonts w:ascii="PT Astra Serif" w:hAnsi="PT Astra Serif" w:cs="PT Astra Serif"/>
                <w:color w:val="121416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121416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after="0" w:afterAutospacing="0" w:line="240" w:lineRule="auto"/>
              <w:tabs>
                <w:tab w:val="left" w:pos="567" w:leader="none"/>
                <w:tab w:val="left" w:pos="992" w:leader="none"/>
              </w:tabs>
              <w:rPr>
                <w:rFonts w:ascii="PT Astra Serif" w:hAnsi="PT Astra Serif" w:cs="PT Astra Serif"/>
                <w:color w:val="121416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121416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PT Astra Serif"/>
                <w:color w:val="121416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121416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after="0" w:afterAutospacing="0" w:line="240" w:lineRule="auto"/>
              <w:tabs>
                <w:tab w:val="left" w:pos="567" w:leader="none"/>
                <w:tab w:val="left" w:pos="992" w:leader="none"/>
              </w:tabs>
              <w:rPr>
                <w:rFonts w:ascii="PT Astra Serif" w:hAnsi="PT Astra Serif" w:cs="PT Astra Serif"/>
                <w:color w:val="121416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лица, проходящие (проходившие) службу в войсках национальной гвардии Российской Федерации и имеющие специальные звания полиции.</w:t>
            </w:r>
            <w:r>
              <w:rPr>
                <w:rFonts w:ascii="PT Astra Serif" w:hAnsi="PT Astra Serif" w:cs="PT Astra Serif"/>
                <w:color w:val="121416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121416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afterAutospacing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Одновременно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должны соответствовать следующим условиям: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afterAutospacing="0" w:line="240" w:lineRule="auto"/>
              <w:tabs>
                <w:tab w:val="left" w:pos="992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являться ветеранами боевых действий или инвалидами боевых действий;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afterAutospacing="0" w:line="240" w:lineRule="auto"/>
              <w:tabs>
                <w:tab w:val="left" w:pos="992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быть удостоенными звания Героя Российской Федерации или награжденными орденом (орденами) Российской Федерации за заслуги, проявленные при выполнении задач в ходе специальной военной операции;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afterAutospacing="0" w:line="240" w:lineRule="auto"/>
              <w:tabs>
                <w:tab w:val="left" w:pos="992" w:leader="none"/>
              </w:tabs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на день начала своего участия в специальной военной операции быть зарегистрированными на территории Удмуртской Республики по месту жительс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white"/>
              </w:rPr>
              <w:t xml:space="preserve">тва, а при отсутствии такой регистрации - по месту пребывания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ind w:left="0" w:right="0" w:firstLine="567"/>
              <w:jc w:val="both"/>
              <w:spacing w:before="0" w:beforeAutospacing="0" w:after="0" w:afterAutospacing="0" w:line="240" w:lineRule="auto"/>
              <w:tabs>
                <w:tab w:val="left" w:pos="992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акон Удмуртской Республики от 17.07.2023 № 68-РЗ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«О бесплатном предоставлении отдельным категориям ветеранов боевых действий, инвалидам боевых действий, членам их семей земельных участков в собственность из земель, находящихся в государственной или муницип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альной собственности, расположенных на территории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Удмуртской Республики»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редакции Закон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26.12.2024 № 85-РЗ)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Профессиональное обучение и дополнительное профессиональное образование, содействие в поиске работы, а также содействие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самозанятости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 безработных 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 w:firstLine="709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 целях социальной поддержки член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семей граждан Российской Федерации, призванных в Удмуртской Республике на военную службу по мобилизации в соответствии с Указом Президента Российской Федерации от 21.09.2022 № 647 «Об объявлении частичной мобилизации в Российской Федерации»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(далее – Указ № 647)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или заключивших по направлению федерального казенного учреждения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Военный комиссариат Удмуртской Республики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предоставляются следующие дополнительные меры социальной поддержки: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профессиональное обучение и дополнительное профессиональное образование;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содействие в поиске работы;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содействие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самозанятости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безработных членов семей, включая предоставление в ускоренном порядке единовременной финансовой помощи на открытие собственного дела;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содействие членам семей в оформлении социальных и иных вы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плат, мер социальной поддержки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Указ Главы Удмуртской Республики от 25.11.2022 № 315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«О дополнительных мерах социальной поддер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жки членов семей граждан 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строительства, жилищно-коммунального хозяйства и энергетики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Освобождение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в многоквартирном доме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 w:firstLine="567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Право на освобождение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Федерации, 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редоставляется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1) гражданам Российской Федерации,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призванных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на военную службу по мобилизации, - на период прохождения ими военной службы;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2) гражданам, проходящим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военную службу в Вооруженных Силах Российской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Федерации по контракту, гражданам, проходящим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61-ФЗ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 обороне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при условии их участия в специальной военной операции на территориях Украины, Донецкой Народной Республики, Луганской Народной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Республики, Херсонской области и Запорожской области - на период их участия в специальной военной операции;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3) гражданам, заключившим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контракт о добровольном содействии в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выполнении задач, возложенных на Вооруженные Силы Российской Федерации или войска национальной гвардии Российской Федерации, в период мобилизации, в период действия военного положения, в военное вр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Федерации, войск национальной гвардии Российской Федерации за пределами территории Российской Федерации, - 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период действия указанного контракта;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4) гражданам, проходящим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енную службу в пограничных органах федеральной службы безопасности и выполняющие (выполнявшие) задачи по отражению вооруженного вторжения на территорию Российской Федерации, выполняющие (выполнявшие) задачи в ходе вооруженной провокации на Государственной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Херсонской области, а также обеспечивающи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 (обеспечивавшие) проведение специальной военной операции на указанных приграничных территориях субъектов Российской Федерации, проходящие военную службу (службу) в войсках национальной гвардии Российской Федерации и оказывающие (оказывавшие) содействие 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ограничным органам федеральной службы безопасности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- на период выполнения ими указанных задач;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5) совместно проживающим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 гражданами, указанными в подпунктах 1 - 4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супругам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дет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ям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родител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ям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а также други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 родственникам, нетрудоспособным иждивенцам и иным гражданам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признанны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 членами семьи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- на период, установленный для граждан, указанных в подпунктах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1 - 4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-108"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Указ Главы У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дмуртской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еспублики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от 25.11.2022 № 316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 утверждении Порядка освобождения граждан, указанных в пунктах 1 - 5 части 1 статьи 9.1 Федерального закона от 14 ма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рта 2022 года № 58-ФЗ «О внесении изменений в отдельные законодательные акты Российской Федерации»,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имущества в многоквартирном доме,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установленных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жилищным законодательством Российской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-108"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(в редакции Указа Главы Удмуртской Республики от 07.03.2025 № 63)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t xml:space="preserve">Министерство образования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t xml:space="preserve">и науки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дошкольного образования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0"/>
              <w:jc w:val="left"/>
              <w:spacing w:after="0" w:afterAutospacing="0" w:line="240" w:lineRule="auto"/>
              <w:tabs>
                <w:tab w:val="left" w:pos="747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Право на освобождение от платы, взимаемой с родителей (законных представителей) за присмотр и уход за детьми в государственной образовательной организации Удмуртской Республики, реализующей образовательную программу дошкольного образования, предоставляется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1)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призванным на военную службу по мобилизации в Вооруженные Силы Российской Федерации в соответствии с Указом № 647;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2)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заключившим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3)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заключившим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 24.02.2022 контракт о поступлении на военную службу по контракту и принимающих участие в специальной военной операции;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4) заключившим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контракт о поступлении на военную службу по контракту, продолжающему свое действие до окончания периода частичной мобилизации, в соответствии с пунктом 4 Указа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647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и принимающим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5) ветеранам боевых действий и принимавших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участие в специальной военной операции;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6)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командированны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 зону проведения специальной военной операции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7) родителям (законным представителям), указанным в пунктах 1-6, получивших увечья (ранения, травмы, контузии) или заболевания;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8) родителям (законным представителям)</w:t>
            </w:r>
            <w:r>
              <w:rPr>
                <w:rFonts w:ascii="PT Astra Serif" w:hAnsi="PT Astra Serif" w:eastAsia="PT Astra Serif" w:cs="PT Astra Seri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 случае гибели (смерти) одного из родителей (законных представителей), указанных в</w:t>
            </w:r>
            <w:r>
              <w:rPr>
                <w:rFonts w:ascii="PT Astra Serif" w:hAnsi="PT Astra Serif" w:eastAsia="PT Astra Serif" w:cs="PT Astra Serif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пунктах 1-6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Указ Главы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Удмуртской Республики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от 16.02.2023 № 26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«Об освобождении отдельных категорий родителей (законных представителей) от взимания родительской платы за присмотр и уход за детьми в государственной образовательной организации Удмуртской Республики,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реализующей образовательную программу дошкольного образования»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(в редакции Указов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Главы 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28.11.2023 № 299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31.05.2024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142,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08.10.2024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 293,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22.01.2025 № 13,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24.03.2025 № 73)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Бесплатное предоставление социальных услуг в форме социального обслуживания на дому, а также в полустационарной и стационарной форме социального обслуживания 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 w:firstLine="567"/>
              <w:jc w:val="both"/>
              <w:spacing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оциальны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услуг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 форме социального обслуживания на дому, а также в полустационарной и стационарной форме социального обслуживания в социально-реабилитационном центре для граждан пожилого возраста и инвалидов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предоставляются бесплатно следующим категориям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граждан, признанным нуждающимися в социальном обслуживании в установленном законодательством Удмуртск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ой Республики порядке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: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гражданам,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призванным на военную службу по мобилизации или поступившим в добровольческие формирования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–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Российской Федерации;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tabs>
                <w:tab w:val="left" w:pos="702" w:leader="none"/>
              </w:tabs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членам семьи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граждан,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призванных на военную службу по мобилизации или поступивших в добровольческие формирования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– на период прохождения военной службы по мобилизации или на период действия контракта о добровольном содействии в выполнении задач, возложенных на Вооружен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ные Силы Российской Федерации, а также в течение одного года после окончания периода прохождения военной службы по мобилизации или периода действия контракта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right="0" w:firstLine="567"/>
              <w:jc w:val="both"/>
              <w:spacing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Указ Главы Удмуртской Республики от 29.06.2023 № 154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«О дополнительных мерах социальной поддержки граждан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Российской Федерации, призванных на военную службу по мобилизации в Вооруженные Силы Российской Федерации либо заключивших контракт о добровольном содействии в выполнении задач, возложенных на Вооруженные Силы Российской Федерации, а также членов их семей»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образования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и науки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Предоставление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 бесплатн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ого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 горяч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его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 питани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я обучающим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ся в период их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обучения по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 образовательным программам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tabs>
                <w:tab w:val="left" w:pos="498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Обеспеч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ение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бесплатным горячим питанием обучающихся в период их обучения по образовательным прогр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аммам основного общего образования, образовательным программам среднего общего образования в государственных образовательных организациях Удмуртской Республики (один раз в учебный день) в случае гибели (смерти) одного из родителей (законных представителей)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 призванных на военную службу по мобилизации в Вооруженные Силы Российской Федерации 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соответствии с Указом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 647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или проходящих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28.03.1998 53-ФЗ 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 воинской обязанности и военной службе» (далее –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Федеральный закон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53-ФЗ), либо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ходе специальной военной операции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Указ Главы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23.09.2024 № 260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«О дополнительной мере социальной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бъявлении частичной мобилизации в Российской Федерации» или проходивших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PT Astra Serif" w:hAnsi="PT Astra Serif" w:cs="PT Astra Serif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28 марта 1998 года № 53-ФЗ «О воинской обязанности и военной службе», либо заключи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ыполнению задач, возложенных на Вооруженные Силы Российской Федерации, в ходе специальной военной опера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ции»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(в редакции Указа Главы 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29.11.2024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353, от 24.03.2025 № 73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образования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и науки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single"/>
              </w:rPr>
              <w:t xml:space="preserve">Обеспечение бесплатным горячим питанием обучающихся очной формы обучения по основным образовательным программам среднего профессионального образования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tabs>
                <w:tab w:val="left" w:pos="498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Обеспечение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один раз в учебный день бесплатным горячим питанием обучающихся очной формы обучения по основным образовательным программам среднего профессионального образования за счет средств бюджета Удмуртской Республики в государственных образовательных ор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ганизациях Удмуртской Республики в случае гибели (смерти) одного из родителей (законных пре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дставителей), призванных на военную службу по мобилизации в Вооруженные Силы Российской Федерации в соответствии с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Указом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№ 647 или проходивших военную службу по контракту, заключенному в соответствии с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пунктом 7 статьи 38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Федерального закона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 53-ФЗ, либо заключивших контракт о добровольном содействии в выполнении задач, возл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оженных на Вооруженные Силы Российской Федерации или войска национальной гвардии Росси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ссийской Федерации, в ходе специальной военной операции.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tabs>
                <w:tab w:val="left" w:pos="498" w:leader="none"/>
              </w:tabs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Бесплатное горячее питание обучающихся очной формы обучения по основным образовательным программам среднего профессионального образования заменяется денежной компенсацией:</w:t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tabs>
                <w:tab w:val="left" w:pos="498" w:leader="none"/>
              </w:tabs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период прохождения производственной практики обучающимися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tabs>
                <w:tab w:val="left" w:pos="498" w:leader="none"/>
              </w:tabs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случае отсутствия у образовательной организации собственной столовой и возможности организации предоставления бесплатного горячего питания с привле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чением сторонних организаций</w:t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Указ Главы Удмуртской Республики от 14.04.2025 № 92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«О дополнительной мере социальной поддержки семей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бъявлении частичной мобилизации в Российской Федерации» или проходивших военную службу по контракту, заключенному в соответствии с пунктом 7 статьи 38 Федерального закона от 28 марта 1998 года № 53-ФЗ «О воинской обязанности и военной службе», либо заключи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ыполнению задач, возложенных на Вооруженные Силы Российской Федерации, в ходе специальной военной операции»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8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строительства, жилищно-коммунального хозяйства и энергетики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Социальные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выплаты на приобретение жилого помещения, создание объекта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индивидуального жилищного строительства</w:t>
            </w:r>
            <w:r>
              <w:rPr>
                <w:rFonts w:ascii="PT Astra Serif" w:hAnsi="PT Astra Serif" w:cs="PT Astra Serif"/>
                <w14:ligatures w14:val="none"/>
              </w:rPr>
            </w:r>
            <w:r>
              <w:rPr>
                <w:rFonts w:ascii="PT Astra Serif" w:hAnsi="PT Astra Serif" w:cs="PT Astra Serif"/>
                <w14:ligatures w14:val="non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Преимущественное право на включение в список молодых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семей предоставляется молодым многодетным семьям и молодым семьям, в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которы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х один или оба супруга либо один родитель в неполной семье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принимают (принимали) участие в специальной военной операции</w:t>
            </w:r>
            <w:r>
              <w:rPr>
                <w:rFonts w:ascii="PT Astra Serif" w:hAnsi="PT Astra Serif" w:cs="PT Astra Serif"/>
                <w14:ligatures w14:val="none"/>
              </w:rPr>
            </w:r>
            <w:r>
              <w:rPr>
                <w:rFonts w:ascii="PT Astra Serif" w:hAnsi="PT Astra Serif" w:cs="PT Astra Serif"/>
                <w14:ligatures w14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16.11.2009 № 329 «О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мерах по реализации в Удмуртской Республике мероприятия по обеспечению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жильем молодых семей ведомственной целевой программы «Оказание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государственной поддержки гражданам в обеспечении жильем и оплате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жилищно-коммунальных услуг» государственной программы Российской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Федерации «Обеспечение доступным и комфортным жильем и коммунальными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услугами граждан Российской Федерации» 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(в редак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ции постановления Правительства Удмуртской Республики от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15.01.2025 № 6)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8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12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здравоохранения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Обеспечение лекарственными препаратами, медицинскими изделиями 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специализированными продуктами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лечебного питания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283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За счет средств регионального бюджета обеспечиваются «участники боевых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действий» и «члены семей погибших участников боевых действий» в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соответствии с перечнем групп населения и категорий заболеваний,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перечисленных в приложениях № 1 и № 2 к постановлению Правительства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Российской Федерации от 30.07.1994 № 890 «О государственной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поддержке развития медицинской промышленности и улучшении обеспечения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населения и учреждений здравоохранения лекарственными средствами 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изделия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ми медицинского назначения»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постановление Правительства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18.01.2010 № 1 «О Порядке льготного обеспечения лекарственными препаратами для медицинского применения и медицинскими изделиями отдельных категорий граждан»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постановление Правительства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Российской Федерации от 30.07.1994 № 890 «О государственной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поддержке развития медицинской промышленности и улучшении обеспечения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населения и учреждений здравоохранения лекарственными средствами 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изделиями медицинского назначения»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trHeight w:val="58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13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2477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Министерство промышленности и торговли Удмуртской Республики</w:t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0" w:right="0" w:firstLine="540"/>
              <w:jc w:val="center"/>
              <w:spacing w:before="0" w:after="0" w:line="288" w:lineRule="atLeast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u w:val="singl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u w:val="single"/>
              </w:rPr>
              <w:t xml:space="preserve">Скидка на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u w:val="single"/>
              </w:rPr>
              <w:t xml:space="preserve">работы по переоборудованию транспортных средств на использование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u w:val="single"/>
              </w:rPr>
              <w:t xml:space="preserve">природного газа (метана) в качестве моторного топлива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u w:val="single"/>
              </w:rPr>
            </w:r>
          </w:p>
          <w:p>
            <w:pPr>
              <w:ind w:left="0" w:right="0" w:firstLine="540"/>
              <w:jc w:val="center"/>
              <w:spacing w:before="0" w:after="0" w:line="288" w:lineRule="atLeast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none"/>
              </w:rPr>
              <w:t xml:space="preserve">Для участников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специальной военной операции введена дополнительная государственная поддержка, которая позволяет снизить затраты на переоборудование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none"/>
              </w:rPr>
              <w:t xml:space="preserve">автотранспортного средства на использование природного газа (метана) в качестве моторного топлива на 90%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none"/>
                <w14:ligatures w14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Удмуртской Республики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 от 12.02.2021 № 65 «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Об утверждении Положения о порядке предоставления из бюджета Удмуртской Республики субсидий юридическим лицам и индивидуальным предпринимателям, выполняющим работы по переоборудованию транспортных средств на использование природного газа (метана) в качест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ве моторного топлива, в целях возмещения недополученных доходов в связи с предоставлением такими лицами скидки владельцам транспортных средств на указанные работы»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 редак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ции постановления Правительства Удмуртской Республики от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21.03.2025 № 147)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8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14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white"/>
                <w:u w:val="none"/>
              </w:rPr>
              <w:t xml:space="preserve">Министерство экономики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Приостановление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 исполнения обязательств по соглашениям о предоставлении грантов в форме субсидий из бюджета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Удмуртской Республики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, продления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сроков достижения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результатов предоставления грантов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 w:firstLine="0"/>
              <w:jc w:val="both"/>
              <w:spacing w:line="240" w:lineRule="auto"/>
              <w:tabs>
                <w:tab w:val="left" w:pos="563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 w:firstLine="567"/>
              <w:jc w:val="both"/>
              <w:spacing w:line="240" w:lineRule="auto"/>
              <w:tabs>
                <w:tab w:val="left" w:pos="563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случае призыва получателя гранта на военную службу по мобилизации или прохождения получателем гранта военной службы по контракту исполнение обязательств по соглашению о предоставлении гранта приостанавливается на срок прохождени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я военной службы по мобилизации или прохождения военной службы по контракту с последующим продлением сроков достижения результатов предоставления гранта без изменения размера гранта и (или) в случае невозможности достижения результата предоставления гранта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без изменения размера гранта с возможностью уменьшения значения результата предоставления гранта, а также продлением сроков использования гранта или отказом от гранта по согласованию с Министерством экономики Удмуртской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остановление Правительства Удмуртской Республики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28.07.2021 № 382 «Об утвер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ждении Порядка предоставления грантов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но»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(в редакции постановлений Правительства Удмуртской Республики от 20.09.2021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 498, от 28.07.2022 № 394,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26.12.2022 № 766, от 24.04.2023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 262, от 12.07.2023 № 457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 09.09.2024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№ 476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9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15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Материальная помощь в размере 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000 000 руб.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567"/>
              <w:jc w:val="both"/>
              <w:spacing w:before="0" w:after="0" w:afterAutospacing="0" w:line="240" w:lineRule="auto"/>
              <w:rPr>
                <w:rFonts w:ascii="PT Astra Serif" w:hAnsi="PT Astra Serif" w:cs="PT Astra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Материальная помощь предоставляется отдельным категориям граждан, оказавшимся в трудной жизненной ситуации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связи с гибелью (смертью) при выполнении специальных задач в ходе проведения специальной военной операции на территориях Украины, Донецкой Народной Республики,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Луганской Народной Республики, Запорожской области и Херсонской области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или в результате непосредственного выполнения задач по охране государственной границы Российской Федерации на участках, примыкающих к районам проведения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специальной военной операции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, либо в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 результате выполнения задач по отражению вооруженного вторжения на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 территорию Курской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 области подразделений Вооруженных Сил Украины, членов их семей, являвшихся участниками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специальной военной операции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из числа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tabs>
                <w:tab w:val="left" w:pos="425" w:leader="none"/>
                <w:tab w:val="left" w:pos="992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военнослужащих, лиц, проходящих службу в войсках национальной гвардии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Российской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и имеющих специальное звание полиции;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лиц, поступивших в созданные по решению органов государственной власти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Российской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добровольческие формирования, содействующие выполнению задач, возложенных на Вооруженные Силы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Российской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 в ходе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специальной военной операции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лиц, заключивших контракт (имевших иные правоотношения) с организациями, со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действ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ующими выполнению задач, возложенных на Вооруженные Силы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Российской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 в ходе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специальной военной операции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tabs>
                <w:tab w:val="left" w:pos="0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постановление Правительства Удмуртской Республики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line="240" w:lineRule="auto"/>
              <w:tabs>
                <w:tab w:val="left" w:pos="0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29.04.2022 № 239 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Об утверждении Порядка оказания материальной помощи отдельным категориям граждан, оказавшимся в трудной жизненной ситуации в связи с гибелью (смертью) членов их семей»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line="240" w:lineRule="auto"/>
              <w:tabs>
                <w:tab w:val="left" w:pos="0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редакции постановлений Правительства Удмуртской Республики от 14.09.2022 № 485,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line="240" w:lineRule="auto"/>
              <w:tabs>
                <w:tab w:val="left" w:pos="0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18.01.2024 № 13,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03.07.2024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line="240" w:lineRule="auto"/>
              <w:tabs>
                <w:tab w:val="left" w:pos="0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 345, от 11.11.2024 № 586,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line="240" w:lineRule="auto"/>
              <w:tabs>
                <w:tab w:val="left" w:pos="0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24.12.2024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 707,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line="240" w:lineRule="auto"/>
              <w:tabs>
                <w:tab w:val="left" w:pos="0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23.04.2025 № 221)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16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Материальная помощь в размере 500 000 руб.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Материальная помощь предоставляется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гр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ажданам, получившим увечье (ранение, травму, контузию) при выполнении специальных задач в ходе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ласти, или в ходе непосредственного выполнения задач по охране государственной границы Российской Федерации на участках, примыкающих к районам проведения специальной военной операции, либо в ходе выполнения задач по 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тражению вооруженного вторжения на территорию Курской области подразделений Вооруженных Сил Украины, из числа:</w:t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военнослужащих, лиц, проходящих службу в войсках национальной гвардии Российской Федерации и имеющих специальное звание полиции;</w:t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операции.</w:t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Право на получение материальной помощи предоставляется имеющим место жительства на территории Удмуртской Республики на день получения увечья (ранен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я, травмы, контузии)</w:t>
            </w:r>
            <w:r>
              <w:rPr>
                <w:rFonts w:ascii="PT Astra Serif" w:hAnsi="PT Astra Serif" w:cs="PT Astra Serif"/>
                <w:highlight w:val="white"/>
              </w:rPr>
            </w:r>
            <w:r>
              <w:rPr>
                <w:rFonts w:ascii="PT Astra Serif" w:hAnsi="PT Astra Serif" w:cs="PT Astra Serif"/>
                <w:highlight w:val="whit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остановление Правительства Удмуртской Республики от 22.06.2022 № 323 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Об утверждении Порядка оказания материальной помощи военнослужащим и отдельным лицам, получившим увечье (ранение, травму, контузию) при выполнении специальных задач в ходе проведения специальной военной операции на территориях Украины, Донецкой Народной 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еспублики, Луганской Народной Республики, Запорожской области и Херсонской области или в ходе непосредственного выполнения задач по охране государственной границы Российской Федерации на участках, примыкающих к районам проведения специальной военной операц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ии, либо в ходе выполнения задач по отражению вооруженного вторжения на территорию Курской области подразделений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Вооруженных Сил Украины»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(в редакции постановлени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Правительства 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14.09.2022 </w:t>
            </w:r>
            <w:hyperlink r:id="rId14" w:tooltip="consultantplus://offline/ref=8B3A21E1BB280D18F725E8E0EE37E51DBFA5BCCA90543704EBF94C8F1B0DC7F3BAE670A0A9D5B5059F5033AEFA0CC0A29EE5ED4403C504F710AC9468RAC0F" w:history="1">
              <w:r>
                <w:rPr>
                  <w:rFonts w:ascii="PT Astra Serif" w:hAnsi="PT Astra Serif" w:eastAsia="PT Astra Serif" w:cs="PT Astra Serif"/>
                  <w:sz w:val="24"/>
                  <w:szCs w:val="24"/>
                </w:rPr>
                <w:t xml:space="preserve">№ 4</w:t>
              </w:r>
              <w:r>
                <w:rPr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</w:rPr>
                <w:t xml:space="preserve">85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от 01.09.2023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 № 588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, от 25.06.2024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tabs>
                <w:tab w:val="left" w:pos="702" w:leader="none"/>
              </w:tabs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№ 323,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от 14.02.2025 № 67,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23.04.2025 № 221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17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Особенности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Установлено, что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доходы 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суммы единовременной материальной помощи, выплачиваемые за счет средств федерального бюджета, бюджетов субъектов Российской Федерации, местных бюджетов и иных источников гражданам, призванным на военную службу по мобилизации в Вооруженные Силы Российской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Федерации в соответствии с </w:t>
            </w:r>
            <w:hyperlink r:id="rId15" w:tooltip="consultantplus://offline/ref=6342A5A6EDF32DD749AFBB8E214EA05814B10C6720EAAD6C162DDFBA2E7A59CED01669A1E71CD81E390F1FA7E51CD7A0CADB2AF50FB3E063N9SEF" w:history="1">
              <w:r>
                <w:rPr>
                  <w:rFonts w:ascii="PT Astra Serif" w:hAnsi="PT Astra Serif" w:eastAsia="PT Astra Serif" w:cs="PT Astra Serif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№ 647,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не учитываются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при расчете среднедушевого дохода семьи и дохода одиноко проживающего гражданина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для получения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следующих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мер социальной поддержки: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оказание государственной социальной помощи на основании социального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контракта;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назначение ежемесячной денежной выплаты нуждающимся в поддержке семьям при рождении в семье третьего и последующих детей, установленной </w:t>
            </w:r>
            <w:hyperlink r:id="rId16" w:tooltip="consultantplus://offline/ref=99306EFB6D1C095A8B3032AF900EBCB930DADDCCE9575F37F5D684EE9B26658D7921B115224A0CF6B4833A6CF67EC03239N4mCF" w:history="1">
              <w:r>
                <w:rPr>
                  <w:rFonts w:ascii="PT Astra Serif" w:hAnsi="PT Astra Serif" w:eastAsia="PT Astra Serif" w:cs="PT Astra Serif"/>
                  <w:sz w:val="24"/>
                  <w:szCs w:val="24"/>
                </w:rPr>
                <w:t xml:space="preserve">Указом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Главы Удмуртской Республики от 21 ноября 2017 года № 368 «Об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установлении ежемесячной денежной выплаты нуждающимся в поддержке семьям при рождении в семье после 31 декабря 2017 года 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ретьего и последующих детей», </w:t>
            </w:r>
            <w:hyperlink r:id="rId17" w:tooltip="consultantplus://offline/ref=99306EFB6D1C095A8B3032AF900EBCB930DADDCCE9575334F9D784EE9B26658D7921B115224A0CF6B4833A6CF67EC03239N4mCF" w:history="1">
              <w:r>
                <w:rPr>
                  <w:rFonts w:ascii="PT Astra Serif" w:hAnsi="PT Astra Serif" w:eastAsia="PT Astra Serif" w:cs="PT Astra Serif"/>
                  <w:sz w:val="24"/>
                  <w:szCs w:val="24"/>
                </w:rPr>
                <w:t xml:space="preserve">постановлением</w:t>
              </w:r>
            </w:hyperlink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Правительства Удмуртской Республики от 5 февраля 2018 года № 26 «Об утверждении Положения о порядке предоставления ежемесячной денежной выплаты нуждающимся в поддержке семьям при рождении в семье третьего и последующих детей»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br/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19.12.2022 № 72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2 «Об особенностях предоставления некоторых мер социальной поддержки, а также оказания государственной социальной помощи на основании социального контракта семьям граждан, призванных на военную службу по мобилизации в Вооруженные Силы Российской Федерации»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 редак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ции постановления Правительства Удмуртской Республики от 27.01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.2025 № 24)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18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олное возмещение стоимости проезда гражданам при осуществлении проезда на платной основе по мостовому переходу через реку Каму у города Камбарки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Участники специальной военной операции, а также члены их семей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 зарегистрированные по месту жительства или месту пребывания на территории Камбарского района Удмуртской Республики, а также участник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 специальной военной операции, члены их семей,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которые находятся на медицинском обслуживании в медицинских орга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низациях, подведомственных 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инистерству здравоохранения Удмуртской Республики и расположенных на территории Камбарского района Удмуртской Республики, могут воспользоваться социальной поддержкой граждан при проезде на платной основе по мостовому переходу че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рез реку Каму у города Камбарки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right="0" w:firstLine="0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остановление Правительства Удмуртской Республики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04.09.2023 № 591 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 Порядке предоставления социальной поддержки гражданам при проезде на платной основе по мостовому переходу че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рез реку Каму у города Камбарки»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редакции постановлений Правительства Удмуртской Республики от 18.04.2024 № 219,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20.06.2024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320,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23.04.2025 № 221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19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left="-108"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Предоставление субсидий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на покупку и установку газоиспользующего оборудования,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проведение работ при социальной газификации (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догазификации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-108"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убсиди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на покупку и установку газоиспользующего оборудования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проведение работ внутри границ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догазификации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в Удмуртской Республике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предоставляются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размере планируемых затрат, но не более 100 000 руб., однократно в отношении одного домовладения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отдельным категориям граждан, проживающих на территории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Удм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уртской Республики, в том числе,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граждан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 являющи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мся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участниками специальной военной операции, членами семей участников специальной военной операции, инвалидами боевых действий, ветеранами боевых действий, членами семей погибших (умерших) инвалидов боевых действий, ветеранов боевых действий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постановление Правительства Удм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уртской Республики от 07.03.2024 № 110 «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О предоставлении в 2024 и 2025 годах субсидий льготным категориям граждан, проживающих на территории Удмуртской Республики, на покупку и установку газоиспользующего оборудования, проведение работ при социальной газификации (догазификации)»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(в редакции постановлени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Правительства 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18.04.2024 № 225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06.08.2024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 414,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31.10.2024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 560, от 24.03.2025 № 152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20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-108"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рганизация кратковременного присмотра и ухода за детьми до 3 лет в организациях социального обслуживания, а также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</w:r>
          </w:p>
          <w:p>
            <w:pPr>
              <w:ind w:left="-108"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на дому - «Социальная няня»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</w:r>
          </w:p>
          <w:p>
            <w:pPr>
              <w:ind w:left="0" w:right="0" w:firstLine="540"/>
              <w:jc w:val="both"/>
              <w:spacing w:before="0" w:after="0" w:line="240" w:lineRule="auto"/>
              <w:rPr>
                <w:rFonts w:ascii="PT Astra Serif" w:hAnsi="PT Astra Serif" w:cs="PT Astra Serif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Семья (либо единственный родитель (усыновитель)), один из членов которой принимает (принимал) участие в специ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альной военной операции или выполняет (выполнял) возложенные на него задачи на территориях Украины, Донецкой Народной Республики, Луганской Народной Республ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ики, Запорожской области и Херсонской области в период проведения специальной военной операции имеет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право на получение услуг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«Кратковременный присмотр и уход за детьми до 3 лет в организациях социального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обслуживания», «Социальная няня»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от 20.12.2024 № 693 «Об утверждении Положения об организации кратковременного присмотра и ухода за детьми до 3 лет в организациях социального обслуживания, а также на дому – «Социальная няня» для отдельных категорий семей в Удмуртской Республике»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21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-108"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Предоставление во временное пользование предметов первой необходимости для новорожденных детей (ребенка)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</w:r>
          </w:p>
          <w:p>
            <w:pPr>
              <w:ind w:left="-108"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yellow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yellow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yellow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yellow"/>
                <w:u w:val="singl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Семье (либо одинокому родителю), один из членов которой принимает (прини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мал) участие в специальной военной операции или выполняет (выполнял) возложенные на него задачи на территориях Украины,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 предоставляются во временное пользование предметы первой необходимости для новорожденных детей (ребенка)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от 20.12.2024 № 698 «О создании пунктов проката предметов первой необходимости для новорожденных детей в отдельных категориях семей Удмуртской Республики»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22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t xml:space="preserve">здравоохранения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Вн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еочередное оказание медицинской помощи в медицинских организациях, находящихся на территории Удмуртской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Право на внеочередное оказание медицинской помощи в рамках Территориальной программы государственных гарантий бесплатного оказания гражданам медицинской помощи на территори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 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на 2025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год и на плановый период 202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6 и 2027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годов имеют: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инвалиды войны;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ветераны боевых действий, включая ветеранов боевых действий,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принимавших участие (содействовавших выполнению задач) в специальной военной операции на территориях Донецкой Народной Республики, Луганской Народной Республики и Украины с 24.02.2022, на территориях Запорожской области и Херсонской области с 30.09.2022,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уволенным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с военной службы (службы, работы);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лица, принимавшие в соответствии с решениями органов публичной власти Донецкой Народной Республики, Луганской Народной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11.05.2014;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члены семей погибших (умерших) инвалидов войны и ветеранов боевых действий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8.12.2024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№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719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«О Территориальной программе государственных гарантий бесплатного оказания гражданам медицинской помощи на территории Удмуртской Республики на 202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год и на плановый период 202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и 202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7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годов»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23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здравоохранения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Оказание бесплатной психологической помощи членам семей участников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специальной военной операции (супруги, дети, родители) 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left="0" w:right="0" w:firstLine="283"/>
              <w:jc w:val="center"/>
              <w:spacing w:after="0" w:afterAutospacing="0" w:line="240" w:lineRule="auto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(в том числе в случае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гибели (смерти) участников специальной военной операции)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28.12.2024 № 719 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«О Территориальной программе государственных гарантий бесплатного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оказания гражданам медицинской помощи на территории Удмуртской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Республики на 2025 год и на плановый период 2026 и 2027 годов»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остановление Правительства Российской Федерации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27.12.2024 № 1940 «О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Программе государственных гарантий бесплатного оказания гражданам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медицинской помощи на 2025 год и на плановый период 2026 и 2027 годов»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24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здравоохранения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center"/>
              <w:spacing w:after="0" w:afterAutospacing="0" w:line="240" w:lineRule="auto"/>
              <w:rPr>
                <w:rFonts w:ascii="PT Astra Serif" w:hAnsi="PT Astra Serif" w:cs="PT Astra Serif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Предоставление санаторно-курортного лечения ветеранам боевых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действий вне зависимости от наличия у них инвалидности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постановление Правительства Удмуртской Республики 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28.12.2024 № 719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«О Территориальной программе государственных гарантий бесплатного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оказания гражданам медицинской помощи на территории Удмуртской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Республики на 2025 год и на плановый период 2026 и 2027 годов»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остановление Правительства Российской Федерации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27.12.2024 № 1940 «О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Программе государственных гарантий бесплатного оказания гражданам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медицинской помощи на 2025 год и на плановый период 2026 и 2027 годов»</w:t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25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477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Министерство 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природных ресурсов и охраны окружающей среды Удмуртской Республики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  <w14:ligatures w14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0" w:right="0" w:firstLine="709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singl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single"/>
              </w:rPr>
              <w:t xml:space="preserve">Безвозмездное обеспечение твердым топливом (дровами) на отопление жилых помещений (домовладений)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singl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single"/>
                <w14:ligatures w14:val="none"/>
              </w:rPr>
            </w:r>
          </w:p>
          <w:p>
            <w:pPr>
              <w:ind w:left="0" w:right="0" w:firstLine="709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singl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singl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single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singl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Дополнительная мера социальной поддержки для проживающих на территории Удмуртской Республики членов семей участников специальной военной операции, призванных на военную службу по мобилизации в Вооруженные Силы Российской Федерации в соответствии с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Указом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 № 647, заключивших контракт о добровольном содействии в выполнении задач, возложенных на Вооруженные Силы Российской Федерации или войска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 национальной гвардии Российской Федерации, заключивших с 24.02.2022 контракт о поступлении на военную службу по контракту и принимающих участие в специальной военной операции, заключивших контракт о поступлении на военную службу по контракту, пр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одолжающему свое действие до окончания периода частичной мобилизации в соответствии с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пунктом 4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 Указа </w:t>
              <w:br/>
              <w:t xml:space="preserve">№ 647, и принимающих участие в специальной военной операции, в виде безвозмездного обеспечения твердым топливом (дровами) на отопле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ние жилого помещения (домовладения) с печным отоплением в объеме 5 куб. м на одно жилое помещение (домовладение), в котором проживает (проживают) по месту жительства (месту пребывания) член (члены) семьи участника специальной военной операции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  <w14:ligatures w14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постановление Правительства Удмуртской Республики от 28.03.2025 № 174 «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О дополнительной мере социальной поддержки членов семей участников специальной военной операции в виде безвозмездного обеспечения твердым топливом (дровами) на отопление жилых помещений (домовладений)»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color w:val="auto"/>
                <w:highlight w:val="non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highlight w:val="none"/>
                <w:u w:val="none"/>
              </w:rPr>
              <w:t xml:space="preserve">26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auto"/>
                <w:highlight w:val="none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color w:val="auto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color w:val="auto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Министерство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имущественных отношений</w:t>
            </w: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Удмуртской Республики</w:t>
            </w:r>
            <w:r>
              <w:rPr>
                <w:rFonts w:ascii="PT Astra Serif" w:hAnsi="PT Astra Serif" w:cs="PT Astra Serif"/>
                <w:b/>
                <w:bCs/>
                <w:color w:val="auto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color w:val="auto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highlight w:val="white"/>
              </w:rPr>
            </w:r>
            <w:bookmarkStart w:id="0" w:name="undefined"/>
            <w:r>
              <w:rPr>
                <w:rFonts w:ascii="PT Astra Serif" w:hAnsi="PT Astra Serif" w:eastAsia="PT Astra Serif" w:cs="PT Astra Serif"/>
                <w:color w:val="auto"/>
                <w:highlight w:val="white"/>
              </w:rPr>
            </w:r>
            <w:bookmarkEnd w:id="0"/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u w:val="singl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u w:val="single"/>
              </w:rPr>
              <w:t xml:space="preserve">тсрочк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u w:val="singl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u w:val="single"/>
              </w:rPr>
              <w:t xml:space="preserve"> уплаты арендных платежей по договорам аренды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u w:val="single"/>
              </w:rPr>
              <w:t xml:space="preserve">, 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u w:val="single"/>
              </w:rPr>
              <w:t xml:space="preserve">расторжение договор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u w:val="single"/>
              </w:rPr>
              <w:t xml:space="preserve">ов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u w:val="single"/>
              </w:rPr>
              <w:t xml:space="preserve"> аренды без применения штрафных санкций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tabs>
                <w:tab w:val="left" w:pos="762" w:leader="none"/>
              </w:tabs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34" w:right="0" w:firstLine="567"/>
              <w:jc w:val="both"/>
              <w:spacing w:after="0" w:afterAutospacing="0" w:line="240" w:lineRule="auto"/>
              <w:tabs>
                <w:tab w:val="left" w:pos="762" w:leader="none"/>
              </w:tabs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тсрочка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уплаты арендных платежей по договорам аренды имущества, находящегося в собственности Удмуртской Республики, договорам аренды земельных участков, находящихся в соб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ственности Удмуртской Республики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 возможность расторжения таких договоров аренды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без применения штрафных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санкций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предоставлена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арендаторам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 являющимся физическими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лица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 в том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числе индивидуальны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предпринимател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ями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 юридически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лица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ми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 в которых одно и то же физическое лицо является единственным учредителем (участником) юридического лица и его руководителем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в случае если указанные физические лица, в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том числе индивидуальные предприниматели или физические лица, являющиеся единственным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647 или проходят военную службу по контракту, заключенному в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соответствии с пунктом 7 статьи 38 Федерального закона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53-ФЗ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, либо заключили контракт о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добровольном содействии в выполнении задач, возложенных на Вооруженные Силы Российской Федерации, на период прохождения ими военной службы или оказания 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распоряжение Правительства Удмуртской Республики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21.12.2022 № 1419-р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«О мерах поддержки граждан в период прохождения ими военной службы или оказания добровольного содействия в выполнении задач, возложенных на Вооруженные Силы </w:t>
            </w:r>
            <w:r>
              <w:rPr>
                <w:rFonts w:ascii="PT Astra Serif" w:hAnsi="PT Astra Serif" w:eastAsia="PT Astra Serif" w:cs="PT Astra Serif"/>
                <w:color w:val="auto"/>
                <w:sz w:val="24"/>
                <w:szCs w:val="24"/>
                <w:highlight w:val="white"/>
              </w:rPr>
              <w:t xml:space="preserve">Российской Федерации»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(в редакции распоряжений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Правительства 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28.02.2023 № 114-р,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10.01.2025 № 4-р)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27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left="0" w:right="0" w:firstLine="709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Предоставление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 путевок (направлений) в организации отдыха детей и их оздоровления для детей, находящихся в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709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трудной жизненной ситуации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709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утев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(направлени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предоставляются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во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внеочередном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порядке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: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детям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военнослужащих, граждан, пребывавших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погибших (умерших) при выполнении задач в ход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е проведения специальной военной операции на территориях Украины, Донецкой Народной Республики и Луганской Народной Республики, Запорожской и Херсонской областей либо позднее указанного периода, но вследствие увечья (ранения, травмы, контузии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) или заболевания, полученных при выполнении задач в ходе проведения специальной военной операции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путевки (направления) в организации отдыха детей и их оздоровления для детей, находящихся в трудной жизненной ситуации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пре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доставляются 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первоочередном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порядке: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детям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военнослужащих, гр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аждан, пребывавших (пребывающих) в добровольческих формированиях, и лиц, проходивших (проходящих) службу в войсках национальной гвардии Российской Федерации и имеющих специальное звание полиции, получивших увечья (ранения, травмы, контузии) при выполнении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задач в ходе проведения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специальной военной операции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детям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граждан, призванных на военную службу по мобилизации в Вооруженные Силы Российской Федерации, пребывающих в добровольческих формированиях, которые выполняют задачи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специальной военной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операции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приказ Министерства социальной политики и тру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да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Удмуртской Республики от 11.11.2021 № 241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«О Порядке предоставления путевок (направлений) в организации отдыха детей и их оздоровления для детей, находящихся в трудной жизненно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й ситуации»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(в редакции приказов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Министерст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ва социальной политики и труда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Удмуртской Республики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27.10.2022 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 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195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 10.06.2024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90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)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none"/>
                <w:u w:val="none"/>
              </w:rPr>
              <w:t xml:space="preserve">28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Материальная помощь на захоронение в размере 200 000 руб.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Материальная помощь оказывается одному из членов семьи военнослужащего, лица, проходящего службу в войсках национальной гвардии Российской Фед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ерации и имеющего специальное звание полиции, лица, поступившего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в ходе спец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иальной военной операции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highlight w:val="white"/>
              </w:rPr>
              <w:t xml:space="preserve">на территориях Украины, Донецкой Народной Республики, Луганской Народной Республики, Запорожской области, Херсонской области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, погибшего (умершего) в результате выполнения специальных задач в ходе спец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иальной военной оп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ерации или в результате непосредственного выполнения задач по охране государственной границы Российской Федерации на участках, примыкающих к районам проведения специальной военной операции, или в результате выполнения задач по отражению вооруженного вторже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ия на территорию Курской области подразделений Вооруженных Сил Украины - супругу, супруге, родителю, совершеннолетнему ребенку, либо близкому родственнику - родному брату, родной сестре, дедушке, бабушке, внуку, внучке, взявшему на себя организацию захорон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none"/>
              </w:rPr>
              <w:t xml:space="preserve">ения погибшего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риказ Министерства социальной политики и труда Удмуртской Республики от 21.04.2022 № 81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«Об организации работы по оказанию материальной помощи отдельным категориям граждан, оказавшимся в трудной жизненной ситуации в связи с гибелью (смертью)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членов их семе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й»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(в редакции приказа Министерства социальной политики и труда Удмуртской Республики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от 09.01.2025 № 1)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29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культуры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0" w:right="0" w:firstLine="425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single"/>
              </w:rPr>
              <w:t xml:space="preserve">Льготное посещение организаций в сфере культуры Удмуртской Республики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Предоставление участникам специальной военной операции и членам их семей права льготного посещения организаций в сфере культуры Удмуртской Республики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приказ Министерства культуры Удмуртской Республики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от 31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</w:rPr>
              <w:t xml:space="preserve">.10.2024 № 01/01-05/318 «Об утверждении Порядка организации посещения участниками специальной военной операции, ветеранами боевых действий из числа участников специальной военной операции, а также членами их семей учреждений культуры Удмуртской Республики»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 w:afterAutospacing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мера осуществляется на основании нормативно-правовых актов муниципальных образований Удмуртской Республики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30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здравоохранения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-108"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редоставлени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  <w:u w:val="single"/>
              </w:rPr>
              <w:t xml:space="preserve"> бесплатного зубного протезирования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:u w:val="single"/>
                <w14:ligatures w14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Бесплатное зубное протезирование предоставляется следующим категориям ветеранов боевых действий, проживающим на территории Удмуртской Республики: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принимавшим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участие (содействовавшим выполнению задач) в специал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ьной военной операции на территориях Донецкой Народной Республики, Луганской 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родной Республики 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Украины с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24.02.2022, на территориях Запорожской области и Херсонской област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и с 30.09.2022, уволенным с военной службы (службы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, работы);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принимавшим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 в соответствии с решениями органов публичной власти Донецкой Народной Ре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спублики, Луганской Народной Респуб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я с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риказ Министерства здравоохранения Удмуртской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Республики от 28.03.2025 № 11 «Об утверждении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Правил бесплатного предоставления зубного протезирования ветеранам боевых действий, указанным в абзац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ах втором и третьем подпункта «в» пункта 2 Указа Президента Российской Федерации  от 3 апреля 2023 года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 232 «О создании Государственного фонда поддержки участников специальной военной операции «Защитники Отечества» за счёт бюджетных ассигнований бюджета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yellow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»</w:t>
            </w:r>
            <w:r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31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здравоохранения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Организация медицинской помощи участникам специальной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военной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операции и членам их семей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</w:rPr>
              <w:t xml:space="preserve">Организован «Центр психологической помощи участникам специальной военной операции и членам их семей» на функциональной основе на базе бюджетного учреждения здравоо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</w:rPr>
              <w:t xml:space="preserve">хранения Удмуртской Республики «Республиканский клинический центр психического здоровья Министерства здравоохранения Удмуртской Республики», обеспечена приоритетность при оказании медицинской помощи участникам специальной военной операции и членам их семей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распоряжение Министерства здравоохранения Удмуртской Республики от 28.10.2022 № 1634 «Об организации медицинской помощи участникам специальной военной операции и членам их семей в Удмуртской Республике»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32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здравоохранения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Организация оказания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специализированной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 медико-санитарной 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помощи ветеранам войн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</w:p>
          <w:p>
            <w:pPr>
              <w:ind w:right="0"/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</w:rPr>
              <w:t xml:space="preserve">Бюджетное учреждение здравоохранения Удмуртской Республики «К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</w:rPr>
              <w:t xml:space="preserve">онсультативно-диагностический центр Министерства здравоохранения Удмуртской Республики» (БУЗ УР «КДЦ МЗ Удмуртской Республики) определено медицинской организацией, оказывающей первичную специализированную медико-санитарную помощь ветеранам войн. Утвержден </w:t>
            </w:r>
            <w:hyperlink r:id="rId18" w:tooltip="https://login.consultant.ru/link/?req=doc&amp;base=RLAW053&amp;n=147469&amp;dst=100016" w:history="1">
              <w:r>
                <w:rPr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white"/>
                </w:rPr>
                <w:t xml:space="preserve">Порядок</w:t>
              </w:r>
            </w:hyperlink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white"/>
              </w:rPr>
              <w:t xml:space="preserve"> направления участников боевых действий, ветеранов войн и приравненных к ним лиц в БУЗ УР «КДЦ МЗ Удмуртской Республики» с целью оказания консультативной помощи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whit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распоряжение Министерства здравоохранения Удмуртской Республики от 19.05.2023 № 0797 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white"/>
              </w:rPr>
              <w:t xml:space="preserve">«О совершенствовании оказания медицинской помощи участникам боевых действий, ветеранам войн и приравненным к ним лицам в Удмуртской Республике»</w:t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33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культуры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0" w:right="0" w:firstLine="425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single"/>
              </w:rPr>
              <w:t xml:space="preserve">Льготное посещение занятий по дополнительным общеразвивающим программам в образовательных организациях сферы культуры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</w:r>
          </w:p>
          <w:p>
            <w:pPr>
              <w:ind w:left="0" w:right="0" w:firstLine="425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single"/>
              </w:rPr>
              <w:t xml:space="preserve">Удмуртской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Предоставление семьям участников специальной военной операции права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льготного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посещения детьми занятий по дополнительным общеразвивающим программам в образовательных организациях сферы культуры Удмуртской Республики 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мера осуществляется на основании нормативно-правовых актов муниципальных образований Удмуртской Республики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34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2477" w:type="dxa"/>
            <w:vMerge w:val="restart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  <w14:ligatures w14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Министерство экономики Удмуртской Республики</w:t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  <w14:ligatures w14:val="none"/>
              </w:rPr>
            </w:r>
            <w:r>
              <w:rPr>
                <w:rFonts w:ascii="PT Astra Serif" w:hAnsi="PT Astra Serif" w:cs="PT Astra Serif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  <w14:ligatures w14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0" w:right="0" w:firstLine="283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single"/>
              </w:rPr>
              <w:t xml:space="preserve">Льготный микрозайм предпринимателям — ветеранам боевых действий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283"/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С ноября 2024 года в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Микрокредитной компании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 Удмуртский фонд развития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предпринимательства действует новый продукт по микрозаймам «Защитник»,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который нацелен на субъектов МСП, созданных лицом, имеющим статус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ветерана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боевых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действий (к лицу, имеющему статус ветерана боевых действий,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приравнивается супруг (супруга) ветерана боевых действий, в том числе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погибшего (умершего) в связи с выполнением задач боевых действий),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зарегистрированным в качестве индивидуального предпринимателя или являющимся единоличным исполнительным органом юридического лица.</w:t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Размер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процентной ставки составляет не более 6,5%. Размер микрозайма - от 50 </w:t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u w:val="none"/>
              </w:rPr>
              <w:t xml:space="preserve">000 до 2 000 000 руб. Срок микрозайма - от 6 месяцев до 36 месяцев</w:t>
            </w:r>
            <w:r>
              <w:rPr>
                <w:rFonts w:ascii="PT Astra Serif" w:hAnsi="PT Astra Serif" w:cs="PT Astra Serif"/>
                <w:u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afterAutospacing="0" w:line="240" w:lineRule="auto"/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 w:themeColor="text1"/>
                <w:sz w:val="24"/>
                <w:szCs w:val="24"/>
              </w:rPr>
              <w:t xml:space="preserve">льготный микрозайм предоставляется в соответствии с Правилами и условиями предоставления микрозаймов Микрокредитной компанией Удмуртским фондом развития предпринимательства, размещенными на сайте: </w:t>
            </w:r>
            <w:hyperlink r:id="rId19" w:tooltip="https://madeinudmurtia.ru/udm/mikrozaymy-na-lgotnykh-usloviyakh/" w:history="1">
              <w:r>
                <w:rPr>
                  <w:rStyle w:val="871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</w:rPr>
                <w:t xml:space="preserve">https://madeinudmurtia.ru/udm/mikrozaymy-na-lgotnykh-usloviy</w:t>
              </w:r>
              <w:r>
                <w:rPr>
                  <w:rStyle w:val="871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</w:rPr>
                <w:t xml:space="preserve">akh/</w:t>
              </w:r>
              <w:r>
                <w:rPr>
                  <w:rStyle w:val="871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</w:rPr>
              </w:r>
              <w:r>
                <w:rPr>
                  <w:rStyle w:val="871"/>
                  <w:rFonts w:ascii="PT Astra Serif" w:hAnsi="PT Astra Serif" w:eastAsia="PT Astra Serif" w:cs="PT Astra Serif"/>
                  <w:color w:val="000000" w:themeColor="text1"/>
                  <w:sz w:val="24"/>
                  <w:szCs w:val="24"/>
                  <w:highlight w:val="none"/>
                </w:rPr>
              </w:r>
            </w:hyperlink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35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Преимущественное право на обеспечение жилыми помещениями специализированного жилищного фонда Удмуртской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 w:firstLine="709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Лица из числа детей-сирот и детей, оставшихся без попечения родителей, принимавшие участие в специальной военной опер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ации на территориях Украины, Донецкой Народной Республики, Луганской Народной Республики, Запорожской области и Херсонской области, имеют преимущественное право на обеспечение жилыми помещениями специализированного жилищного фонда Удмуртской Республики пер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ед другими лицами, включенными в сводный республиканский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Удмуртской Республике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Федеральный закон от 21.12.1996 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159-ФЗ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 дополнительных гарантиях по социальной поддержке детей-сирот и детей, ост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авшихся без попечения родителей»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акон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от 14.03.2013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8-РЗ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 обеспечении жилыми помещениями детей-сирот и детей, оставшихся без попечения родителей, а также лиц из числа детей-сирот и детей, ост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авшихся без попечения родителей»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36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социальной политики и труда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Преимущественное право на предоставление выплаты на приобретение благоустроенного жилого помещения в собственность или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для полного погашения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u w:val="single"/>
              </w:rPr>
            </w:r>
          </w:p>
          <w:p>
            <w:pPr>
              <w:ind w:right="0" w:firstLine="567"/>
              <w:jc w:val="both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Преимущественное право на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однократное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предоставление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за счет средств бюджета Удмуртской Республики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выплаты на приобретение благоустроенного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жилого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помещения в собственность или для полного по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гашения предоставленного на приобретение жилого помещения кредита (займа) по договору, обязательства заемщика по которому обеспечены ипотекой, перед другими лицами, включенными в сводный республиканский список детей-сирот и детей, оставшихся без попечения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родителей, лиц из числа детей-сирот и детей, оста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вшихся без попечения родителей, подлежащих обеспечению жилыми помещениями в Удмуртской Республике, имеют лица, принимавшие участие в специальной военной операции на территориях Украины, Донецкой Народной Республики, Луганской Народной Республики, Запорожск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ой области и Херсонской области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  <w:tc>
          <w:tcPr>
            <w:tcW w:w="402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Федеральный закон от 21.12.1996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159-ФЗ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 дополнительных гарантиях по социальной поддержке детей-сирот и детей, ост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авшихся без попечения родителей»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постановление Правительства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Российской Федерации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от 21.12.2023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 2227 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 отдельных вопросах предоставления лицам, указанным в пункте 1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статьи 8.1 Федерального закона 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 дополнительных гарантиях по социальной поддержке детей-сирот и детей, ост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авшихся без попечения родителей»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выплаты на приобретение благоустроенного жилого помещения в собственность или для полного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погашения кредита (займа) по договору, обязательства заемщика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по которому обеспечены ипотекой»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line="240" w:lineRule="auto"/>
              <w:rPr>
                <w:rFonts w:ascii="PT Astra Serif" w:hAnsi="PT Astra Serif" w:cs="PT Astra Serif"/>
                <w:sz w:val="24"/>
                <w:szCs w:val="24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остановление Правительства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Удмуртской Республики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 от 01.04.2024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№ 175 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Об утверждении Порядка предоставления лицам, указанным в пункте 1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статьи 8.1 Федерального закона «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 дополнительных гарантиях по социальной поддержке детей-сирот и детей, ост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авшихся без попечения родителей»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 xml:space="preserve">отекой, в Удмуртской Республике»</w:t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  <w:r>
              <w:rPr>
                <w:rFonts w:ascii="PT Astra Serif" w:hAnsi="PT Astra Serif" w:cs="PT Astra Serif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  <w:t xml:space="preserve">37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4"/>
                <w:szCs w:val="24"/>
                <w:u w:val="none"/>
              </w:rPr>
            </w:r>
          </w:p>
        </w:tc>
        <w:tc>
          <w:tcPr>
            <w:tcW w:w="2477" w:type="dxa"/>
            <w:textDirection w:val="lrTb"/>
            <w:noWrap w:val="false"/>
          </w:tcPr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Министерство 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u w:val="none"/>
              </w:rPr>
            </w:r>
          </w:p>
          <w:p>
            <w:pPr>
              <w:ind w:right="0"/>
              <w:jc w:val="center"/>
              <w:spacing w:line="240" w:lineRule="auto"/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b/>
                <w:bCs/>
                <w:sz w:val="24"/>
                <w:szCs w:val="24"/>
                <w:u w:val="none"/>
              </w:rPr>
              <w:t xml:space="preserve">культуры Удмуртской Республики</w:t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  <w:r>
              <w:rPr>
                <w:rFonts w:ascii="PT Astra Serif" w:hAnsi="PT Astra Serif" w:cs="PT Astra Serif"/>
                <w:b/>
                <w:bCs/>
                <w:sz w:val="24"/>
                <w:szCs w:val="24"/>
                <w:highlight w:val="white"/>
                <w:u w:val="none"/>
              </w:rPr>
            </w:r>
          </w:p>
        </w:tc>
        <w:tc>
          <w:tcPr>
            <w:tcW w:w="7385" w:type="dxa"/>
            <w:vMerge w:val="restart"/>
            <w:textDirection w:val="lrTb"/>
            <w:noWrap w:val="false"/>
          </w:tcPr>
          <w:p>
            <w:pPr>
              <w:ind w:left="0" w:right="0" w:firstLine="425"/>
              <w:jc w:val="center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singl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  <w:u w:val="single"/>
              </w:rPr>
              <w:t xml:space="preserve">Льготное среднее профессиональное образование в образовательных организациях сферы культуры Удмуртской Республики</w:t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  <w:u w:val="single"/>
              </w:rPr>
            </w:r>
          </w:p>
          <w:p>
            <w:pPr>
              <w:ind w:left="0" w:right="0" w:firstLine="425"/>
              <w:jc w:val="both"/>
              <w:spacing w:after="0" w:afterAutospacing="0" w:line="240" w:lineRule="auto"/>
              <w:rPr>
                <w:rFonts w:ascii="PT Astra Serif" w:hAnsi="PT Astra Serif" w:cs="PT Astra Serif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sz w:val="24"/>
                <w:szCs w:val="24"/>
                <w:highlight w:val="none"/>
              </w:rPr>
            </w:r>
          </w:p>
          <w:p>
            <w:pPr>
              <w:ind w:left="0" w:right="0" w:firstLine="567"/>
              <w:jc w:val="both"/>
              <w:spacing w:after="0" w:afterAutospacing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Предоставление права детям у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частников специальной военной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операции 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highlight w:val="none"/>
              </w:rPr>
              <w:t xml:space="preserve">на получение льготного среднего профессионального образования в образовательных организациях сферы культуры Удмуртской Республики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(преимущественное право зачисления в образовательную организацию на обучение по образовательным программам сре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днего профессионального образования при условии успешного прохождения вступительных испытаний)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4028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Федеральный закон Российской Федерации от 29.12.2012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</w:p>
          <w:p>
            <w:pPr>
              <w:ind w:left="0" w:right="0" w:firstLine="0"/>
              <w:jc w:val="center"/>
              <w:spacing w:before="0" w:after="0" w:afterAutospacing="0" w:line="240" w:lineRule="auto"/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№ 273-ФЗ </w:t>
            </w:r>
            <w:r>
              <w:rPr>
                <w:rFonts w:ascii="PT Astra Serif" w:hAnsi="PT Astra Serif" w:eastAsia="PT Astra Serif" w:cs="PT Astra Serif"/>
                <w:color w:val="000000"/>
                <w:sz w:val="24"/>
                <w:szCs w:val="24"/>
              </w:rPr>
              <w:t xml:space="preserve">«Об образовании в Российской Федерации»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  <w14:ligatures w14:val="none"/>
              </w:rPr>
            </w:r>
          </w:p>
        </w:tc>
      </w:tr>
    </w:tbl>
    <w:p>
      <w:pPr>
        <w:ind w:right="0"/>
        <w:jc w:val="center"/>
        <w:spacing w:after="0" w:line="240" w:lineRule="auto"/>
        <w:rPr>
          <w:rFonts w:ascii="PT Astra Serif" w:hAnsi="PT Astra Serif" w:cs="PT Astra Serif"/>
          <w:sz w:val="24"/>
          <w:szCs w:val="24"/>
        </w:rPr>
        <w:suppressLineNumbers w:val="0"/>
      </w:pPr>
      <w:r>
        <w:rPr>
          <w:rFonts w:ascii="PT Astra Serif" w:hAnsi="PT Astra Serif" w:eastAsia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  <w:r>
        <w:rPr>
          <w:rFonts w:ascii="PT Astra Serif" w:hAnsi="PT Astra Serif" w:cs="PT Astra Serif"/>
          <w:sz w:val="24"/>
          <w:szCs w:val="24"/>
        </w:rPr>
      </w:r>
    </w:p>
    <w:sectPr>
      <w:headerReference w:type="default" r:id="rId9"/>
      <w:footnotePr/>
      <w:endnotePr/>
      <w:type w:val="nextPage"/>
      <w:pgSz w:w="16838" w:h="11906" w:orient="landscape"/>
      <w:pgMar w:top="1701" w:right="1134" w:bottom="567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Tahoma">
    <w:panose1 w:val="020B060603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99049234"/>
      <w:docPartObj>
        <w:docPartGallery w:val="Page Numbers (Top of Page)"/>
        <w:docPartUnique w:val="true"/>
      </w:docPartObj>
      <w:rPr/>
    </w:sdtPr>
    <w:sdtContent>
      <w:p>
        <w:pPr>
          <w:pStyle w:val="864"/>
          <w:jc w:val="center"/>
          <w:rPr>
            <w:rFonts w:ascii="PT Astra Serif" w:hAnsi="PT Astra Serif" w:cs="PT Astra Serif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PT Astra Serif" w:hAnsi="PT Astra Serif" w:eastAsia="PT Astra Serif" w:cs="PT Astra Serif"/>
            <w:sz w:val="24"/>
            <w:szCs w:val="24"/>
          </w:rPr>
          <w:fldChar w:fldCharType="separate"/>
        </w:r>
        <w:r>
          <w:rPr>
            <w:rFonts w:ascii="PT Astra Serif" w:hAnsi="PT Astra Serif" w:eastAsia="PT Astra Serif" w:cs="PT Astra Serif"/>
            <w:sz w:val="24"/>
            <w:szCs w:val="24"/>
          </w:rPr>
          <w:t xml:space="preserve">1</w:t>
        </w:r>
        <w:r>
          <w:rPr>
            <w:rFonts w:ascii="PT Astra Serif" w:hAnsi="PT Astra Serif" w:eastAsia="PT Astra Serif" w:cs="PT Astra Serif"/>
            <w:sz w:val="24"/>
            <w:szCs w:val="24"/>
          </w:rPr>
          <w:t xml:space="preserve">3</w:t>
        </w:r>
        <w:r>
          <w:rPr>
            <w:rFonts w:ascii="PT Astra Serif" w:hAnsi="PT Astra Serif" w:eastAsia="PT Astra Serif" w:cs="PT Astra Serif"/>
            <w:sz w:val="24"/>
            <w:szCs w:val="24"/>
          </w:rPr>
          <w:fldChar w:fldCharType="end"/>
        </w:r>
        <w:r>
          <w:rPr>
            <w:rFonts w:ascii="PT Astra Serif" w:hAnsi="PT Astra Serif" w:cs="PT Astra Serif"/>
            <w:sz w:val="24"/>
            <w:szCs w:val="24"/>
          </w:rPr>
        </w:r>
        <w:r>
          <w:rPr>
            <w:rFonts w:ascii="PT Astra Serif" w:hAnsi="PT Astra Serif" w:cs="PT Astra Serif"/>
            <w:sz w:val="24"/>
            <w:szCs w:val="2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59"/>
    <w:next w:val="859"/>
    <w:link w:val="68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basedOn w:val="860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59"/>
    <w:next w:val="859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0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59"/>
    <w:next w:val="859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0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59"/>
    <w:next w:val="859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0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59"/>
    <w:next w:val="859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59"/>
    <w:next w:val="859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0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59"/>
    <w:next w:val="859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0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59"/>
    <w:next w:val="859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0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59"/>
    <w:next w:val="859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0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Title"/>
    <w:basedOn w:val="859"/>
    <w:next w:val="859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0"/>
    <w:link w:val="705"/>
    <w:uiPriority w:val="10"/>
    <w:rPr>
      <w:sz w:val="48"/>
      <w:szCs w:val="48"/>
    </w:rPr>
  </w:style>
  <w:style w:type="paragraph" w:styleId="707">
    <w:name w:val="Subtitle"/>
    <w:basedOn w:val="859"/>
    <w:next w:val="859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0"/>
    <w:link w:val="707"/>
    <w:uiPriority w:val="11"/>
    <w:rPr>
      <w:sz w:val="24"/>
      <w:szCs w:val="24"/>
    </w:rPr>
  </w:style>
  <w:style w:type="paragraph" w:styleId="709">
    <w:name w:val="Quote"/>
    <w:basedOn w:val="859"/>
    <w:next w:val="859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9"/>
    <w:next w:val="859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60"/>
    <w:link w:val="864"/>
    <w:uiPriority w:val="99"/>
  </w:style>
  <w:style w:type="character" w:styleId="714">
    <w:name w:val="Footer Char"/>
    <w:basedOn w:val="860"/>
    <w:link w:val="866"/>
    <w:uiPriority w:val="99"/>
  </w:style>
  <w:style w:type="paragraph" w:styleId="715">
    <w:name w:val="Caption"/>
    <w:basedOn w:val="859"/>
    <w:next w:val="859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866"/>
    <w:uiPriority w:val="99"/>
  </w:style>
  <w:style w:type="table" w:styleId="717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6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7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8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9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0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1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2">
    <w:name w:val="footnote text"/>
    <w:basedOn w:val="85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>
    <w:name w:val="Footnote Text Char"/>
    <w:link w:val="842"/>
    <w:uiPriority w:val="99"/>
    <w:rPr>
      <w:sz w:val="18"/>
    </w:rPr>
  </w:style>
  <w:style w:type="character" w:styleId="844">
    <w:name w:val="footnote reference"/>
    <w:basedOn w:val="860"/>
    <w:uiPriority w:val="99"/>
    <w:unhideWhenUsed/>
    <w:rPr>
      <w:vertAlign w:val="superscript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table" w:styleId="863">
    <w:name w:val="Table Grid"/>
    <w:basedOn w:val="86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64">
    <w:name w:val="Header"/>
    <w:basedOn w:val="859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60"/>
    <w:link w:val="864"/>
    <w:uiPriority w:val="99"/>
  </w:style>
  <w:style w:type="paragraph" w:styleId="866">
    <w:name w:val="Footer"/>
    <w:basedOn w:val="859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60"/>
    <w:link w:val="866"/>
    <w:uiPriority w:val="99"/>
  </w:style>
  <w:style w:type="paragraph" w:styleId="868">
    <w:name w:val="Balloon Text"/>
    <w:basedOn w:val="859"/>
    <w:link w:val="8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60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No Spacing"/>
    <w:uiPriority w:val="1"/>
    <w:qFormat/>
    <w:pPr>
      <w:spacing w:after="0" w:line="240" w:lineRule="auto"/>
    </w:pPr>
  </w:style>
  <w:style w:type="character" w:styleId="871">
    <w:name w:val="Hyperlink"/>
    <w:basedOn w:val="860"/>
    <w:uiPriority w:val="99"/>
    <w:semiHidden/>
    <w:unhideWhenUsed/>
    <w:rPr>
      <w:color w:val="0000ff" w:themeColor="hyperlink"/>
      <w:u w:val="single"/>
    </w:rPr>
  </w:style>
  <w:style w:type="paragraph" w:styleId="872" w:customStyle="1">
    <w:name w:val="docdata"/>
    <w:basedOn w:val="8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3">
    <w:name w:val="Normal (Web)"/>
    <w:basedOn w:val="85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74">
    <w:name w:val="List Paragraph"/>
    <w:basedOn w:val="859"/>
    <w:uiPriority w:val="34"/>
    <w:qFormat/>
    <w:pPr>
      <w:contextualSpacing/>
      <w:ind w:left="720"/>
    </w:pPr>
  </w:style>
  <w:style w:type="character" w:styleId="875">
    <w:name w:val="annotation reference"/>
    <w:basedOn w:val="860"/>
    <w:uiPriority w:val="99"/>
    <w:semiHidden/>
    <w:unhideWhenUsed/>
    <w:rPr>
      <w:sz w:val="16"/>
      <w:szCs w:val="16"/>
    </w:rPr>
  </w:style>
  <w:style w:type="paragraph" w:styleId="876">
    <w:name w:val="annotation text"/>
    <w:basedOn w:val="859"/>
    <w:link w:val="87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7" w:customStyle="1">
    <w:name w:val="Текст примечания Знак"/>
    <w:basedOn w:val="860"/>
    <w:link w:val="876"/>
    <w:uiPriority w:val="99"/>
    <w:semiHidden/>
    <w:rPr>
      <w:sz w:val="20"/>
      <w:szCs w:val="20"/>
    </w:rPr>
  </w:style>
  <w:style w:type="paragraph" w:styleId="878">
    <w:name w:val="annotation subject"/>
    <w:basedOn w:val="876"/>
    <w:next w:val="876"/>
    <w:link w:val="879"/>
    <w:uiPriority w:val="99"/>
    <w:semiHidden/>
    <w:unhideWhenUsed/>
    <w:rPr>
      <w:b/>
      <w:bCs/>
    </w:rPr>
  </w:style>
  <w:style w:type="character" w:styleId="879" w:customStyle="1">
    <w:name w:val="Тема примечания Знак"/>
    <w:basedOn w:val="877"/>
    <w:link w:val="878"/>
    <w:uiPriority w:val="99"/>
    <w:semiHidden/>
    <w:rPr>
      <w:b/>
      <w:bCs/>
      <w:sz w:val="20"/>
      <w:szCs w:val="20"/>
    </w:rPr>
  </w:style>
  <w:style w:type="paragraph" w:styleId="880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88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1EE389C0AF8615065B1E2472540ECC8A700EF6FA5D729F072EA2E16D4D64253412920D5D5DB45384714C6D4180u733I" TargetMode="External"/><Relationship Id="rId12" Type="http://schemas.openxmlformats.org/officeDocument/2006/relationships/hyperlink" Target="consultantplus://offline/ref=EDDF35E53AD3E6D94F461CE2F5582A0DD0639624D18203DF51DED4050904C0AE1E128A0465D50825B9EF200FD9E54EI" TargetMode="External"/><Relationship Id="rId13" Type="http://schemas.openxmlformats.org/officeDocument/2006/relationships/hyperlink" Target="consultantplus://offline/ref=DB357B178F0A84F0F26746C6CE32720557A4B1B4E3DFA5615A1813E55B07A5C4A043B2B95B6966416E79F7FB566F9583BE5CD59E78D8AD12iDyDH" TargetMode="External"/><Relationship Id="rId14" Type="http://schemas.openxmlformats.org/officeDocument/2006/relationships/hyperlink" Target="consultantplus://offline/ref=8B3A21E1BB280D18F725E8E0EE37E51DBFA5BCCA90543704EBF94C8F1B0DC7F3BAE670A0A9D5B5059F5033AEFA0CC0A29EE5ED4403C504F710AC9468RAC0F" TargetMode="External"/><Relationship Id="rId15" Type="http://schemas.openxmlformats.org/officeDocument/2006/relationships/hyperlink" Target="consultantplus://offline/ref=6342A5A6EDF32DD749AFBB8E214EA05814B10C6720EAAD6C162DDFBA2E7A59CED01669A1E71CD81E390F1FA7E51CD7A0CADB2AF50FB3E063N9SEF" TargetMode="External"/><Relationship Id="rId16" Type="http://schemas.openxmlformats.org/officeDocument/2006/relationships/hyperlink" Target="consultantplus://offline/ref=99306EFB6D1C095A8B3032AF900EBCB930DADDCCE9575F37F5D684EE9B26658D7921B115224A0CF6B4833A6CF67EC03239N4mCF" TargetMode="External"/><Relationship Id="rId17" Type="http://schemas.openxmlformats.org/officeDocument/2006/relationships/hyperlink" Target="consultantplus://offline/ref=99306EFB6D1C095A8B3032AF900EBCB930DADDCCE9575334F9D784EE9B26658D7921B115224A0CF6B4833A6CF67EC03239N4mCF" TargetMode="External"/><Relationship Id="rId18" Type="http://schemas.openxmlformats.org/officeDocument/2006/relationships/hyperlink" Target="https://login.consultant.ru/link/?req=doc&amp;base=RLAW053&amp;n=147469&amp;dst=100016" TargetMode="External"/><Relationship Id="rId19" Type="http://schemas.openxmlformats.org/officeDocument/2006/relationships/hyperlink" Target="https://madeinudmurtia.ru/udm/mikrozaymy-na-lgotnykh-usloviyakh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4B75-3DD2-4390-9561-32269D07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</dc:creator>
  <cp:lastModifiedBy>matrosova_sva</cp:lastModifiedBy>
  <cp:revision>151</cp:revision>
  <dcterms:created xsi:type="dcterms:W3CDTF">2024-02-22T05:14:00Z</dcterms:created>
  <dcterms:modified xsi:type="dcterms:W3CDTF">2025-12-19T12:16:21Z</dcterms:modified>
</cp:coreProperties>
</file>