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5B" w:rsidRPr="007A205B" w:rsidRDefault="007A205B" w:rsidP="007A20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A20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Материалы по вопросам заполнения и предоставления сведений по форме ЕФС -1</w:t>
      </w:r>
    </w:p>
    <w:p w:rsidR="007A205B" w:rsidRDefault="007A205B" w:rsidP="007A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05B" w:rsidRPr="007A205B" w:rsidRDefault="007A205B" w:rsidP="007A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sz w:val="24"/>
          <w:szCs w:val="24"/>
        </w:rPr>
        <w:t>С 1 января 2023 года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представляются в составе единой формы сведений ЕФС-1.</w:t>
      </w:r>
    </w:p>
    <w:p w:rsidR="007A205B" w:rsidRPr="007A205B" w:rsidRDefault="007A205B" w:rsidP="007A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sz w:val="24"/>
          <w:szCs w:val="24"/>
        </w:rPr>
        <w:t>Обновлённая форма ЕФС-1 и порядок ее заполнения утверждены приказом СФР от 17.11.2023 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(ЕФС-1)». Форматы сведений формы ЕФС-1 утверждены приказом СФР от 23.11.2023 г. № 2315 «Об определении форматов сведений для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(ЕФС-1)».</w:t>
      </w:r>
    </w:p>
    <w:p w:rsidR="007A205B" w:rsidRPr="007A205B" w:rsidRDefault="007A205B" w:rsidP="007A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ПРЕДСТАВЛЕНИЯ СВЕДЕНИЙ ПО ФОРМЕ ЕФС-1:</w:t>
      </w:r>
    </w:p>
    <w:p w:rsidR="007A205B" w:rsidRPr="007A205B" w:rsidRDefault="007A205B" w:rsidP="007A2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 по телекоммуникационным каналам связи с УКЭП </w:t>
      </w:r>
      <w:r w:rsidRPr="007A205B">
        <w:rPr>
          <w:rFonts w:ascii="Times New Roman" w:eastAsia="Times New Roman" w:hAnsi="Times New Roman" w:cs="Times New Roman"/>
          <w:b/>
          <w:bCs/>
          <w:sz w:val="24"/>
          <w:szCs w:val="24"/>
        </w:rPr>
        <w:t>через Оператора</w:t>
      </w:r>
      <w:r w:rsidRPr="007A205B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программного обеспечения Оператора.</w:t>
      </w:r>
    </w:p>
    <w:p w:rsidR="007A205B" w:rsidRPr="007A205B" w:rsidRDefault="007A205B" w:rsidP="007A2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 </w:t>
      </w:r>
      <w:r w:rsidRPr="007A205B">
        <w:rPr>
          <w:rFonts w:ascii="Times New Roman" w:eastAsia="Times New Roman" w:hAnsi="Times New Roman" w:cs="Times New Roman"/>
          <w:b/>
          <w:bCs/>
          <w:sz w:val="24"/>
          <w:szCs w:val="24"/>
        </w:rPr>
        <w:t>через уполномоченное юридическое лицо</w:t>
      </w:r>
      <w:r w:rsidRPr="007A205B">
        <w:rPr>
          <w:rFonts w:ascii="Times New Roman" w:eastAsia="Times New Roman" w:hAnsi="Times New Roman" w:cs="Times New Roman"/>
          <w:sz w:val="24"/>
          <w:szCs w:val="24"/>
        </w:rPr>
        <w:t xml:space="preserve"> (консалтинговые фирмы и иные организации, предоставляющие сервисы по сдаче отчетности в СФР), осуществляющее свои полномочия на основании доверенности, по телекоммуникационным каналам связи с применением усиленной квалифицированной электронной подписи представителя.</w:t>
      </w:r>
    </w:p>
    <w:p w:rsidR="007A205B" w:rsidRPr="007A205B" w:rsidRDefault="007A205B" w:rsidP="007A2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документа, используя </w:t>
      </w:r>
      <w:r w:rsidRPr="007A205B">
        <w:rPr>
          <w:rFonts w:ascii="Times New Roman" w:eastAsia="Times New Roman" w:hAnsi="Times New Roman" w:cs="Times New Roman"/>
          <w:b/>
          <w:bCs/>
          <w:sz w:val="24"/>
          <w:szCs w:val="24"/>
        </w:rPr>
        <w:t>сервис "Личный кабинет страхователя"</w:t>
      </w:r>
      <w:r w:rsidRPr="007A205B">
        <w:rPr>
          <w:rFonts w:ascii="Times New Roman" w:eastAsia="Times New Roman" w:hAnsi="Times New Roman" w:cs="Times New Roman"/>
          <w:sz w:val="24"/>
          <w:szCs w:val="24"/>
        </w:rPr>
        <w:t xml:space="preserve"> на сайте СФР.</w:t>
      </w:r>
    </w:p>
    <w:p w:rsidR="007A205B" w:rsidRPr="007A205B" w:rsidRDefault="007A205B" w:rsidP="007A2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sz w:val="24"/>
          <w:szCs w:val="24"/>
        </w:rPr>
        <w:t xml:space="preserve">На бумажном носителе, обратившись </w:t>
      </w:r>
      <w:r w:rsidRPr="007A205B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</w:t>
      </w:r>
      <w:r w:rsidRPr="007A205B">
        <w:rPr>
          <w:rFonts w:ascii="Times New Roman" w:eastAsia="Times New Roman" w:hAnsi="Times New Roman" w:cs="Times New Roman"/>
          <w:sz w:val="24"/>
          <w:szCs w:val="24"/>
        </w:rPr>
        <w:t xml:space="preserve"> в территориальный орган СФР (при численности сотрудников и подрядчиков по ГПХ не более 10 человек).</w:t>
      </w:r>
    </w:p>
    <w:p w:rsidR="007A205B" w:rsidRPr="007A205B" w:rsidRDefault="007A205B" w:rsidP="007A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представления разделов и подразделов формы ЕФС-1</w:t>
      </w:r>
    </w:p>
    <w:tbl>
      <w:tblPr>
        <w:tblW w:w="134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8"/>
        <w:gridCol w:w="5474"/>
        <w:gridCol w:w="4468"/>
      </w:tblGrid>
      <w:tr w:rsidR="007A205B" w:rsidRPr="007A205B" w:rsidTr="007A205B">
        <w:trPr>
          <w:trHeight w:val="690"/>
          <w:tblCellSpacing w:w="15" w:type="dxa"/>
        </w:trPr>
        <w:tc>
          <w:tcPr>
            <w:tcW w:w="342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5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</w:t>
            </w:r>
          </w:p>
        </w:tc>
        <w:tc>
          <w:tcPr>
            <w:tcW w:w="4353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представления</w:t>
            </w:r>
          </w:p>
        </w:tc>
      </w:tr>
      <w:tr w:rsidR="007A205B" w:rsidRPr="007A205B" w:rsidTr="007A205B">
        <w:trPr>
          <w:trHeight w:val="1710"/>
          <w:tblCellSpacing w:w="15" w:type="dxa"/>
        </w:trPr>
        <w:tc>
          <w:tcPr>
            <w:tcW w:w="342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I. Подраздел 1. Подраздел 1.1.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трудовой (иной) деятельности</w:t>
            </w:r>
          </w:p>
        </w:tc>
        <w:tc>
          <w:tcPr>
            <w:tcW w:w="535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Перевод, переименование, установление (присвоение), запрет занимать должность по решению суда</w:t>
            </w:r>
          </w:p>
        </w:tc>
        <w:tc>
          <w:tcPr>
            <w:tcW w:w="4353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25-го числа месяца</w:t>
            </w: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, следующего за месяцем, в котором изданы приказы</w:t>
            </w:r>
          </w:p>
        </w:tc>
      </w:tr>
      <w:tr w:rsidR="007A205B" w:rsidRPr="007A205B" w:rsidTr="007A205B">
        <w:trPr>
          <w:trHeight w:val="1230"/>
          <w:tblCellSpacing w:w="15" w:type="dxa"/>
        </w:trPr>
        <w:tc>
          <w:tcPr>
            <w:tcW w:w="342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Прием, увольнение, приостановление, возобновление</w:t>
            </w:r>
          </w:p>
        </w:tc>
        <w:tc>
          <w:tcPr>
            <w:tcW w:w="535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позднее рабочего дня</w:t>
            </w: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, следующего за днем издания приказа или заключения/прекращения  договора</w:t>
            </w:r>
          </w:p>
        </w:tc>
        <w:tc>
          <w:tcPr>
            <w:tcW w:w="0" w:type="auto"/>
            <w:vAlign w:val="center"/>
            <w:hideMark/>
          </w:tcPr>
          <w:p w:rsidR="007A205B" w:rsidRPr="007A205B" w:rsidRDefault="007A205B" w:rsidP="007A2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205B" w:rsidRPr="007A205B" w:rsidTr="007A205B">
        <w:trPr>
          <w:trHeight w:val="960"/>
          <w:tblCellSpacing w:w="15" w:type="dxa"/>
        </w:trPr>
        <w:tc>
          <w:tcPr>
            <w:tcW w:w="342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договора ГПХ, окончание договора ГПХ</w:t>
            </w:r>
          </w:p>
        </w:tc>
        <w:tc>
          <w:tcPr>
            <w:tcW w:w="0" w:type="auto"/>
            <w:vAlign w:val="center"/>
            <w:hideMark/>
          </w:tcPr>
          <w:p w:rsidR="007A205B" w:rsidRPr="007A205B" w:rsidRDefault="007A205B" w:rsidP="007A2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205B" w:rsidRPr="007A205B" w:rsidRDefault="007A205B" w:rsidP="007A2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205B" w:rsidRPr="007A205B" w:rsidTr="007A205B">
        <w:trPr>
          <w:trHeight w:val="1785"/>
          <w:tblCellSpacing w:w="15" w:type="dxa"/>
        </w:trPr>
        <w:tc>
          <w:tcPr>
            <w:tcW w:w="342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I. Подраздел 1. Подраздел 1.2.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страховом стаже</w:t>
            </w:r>
          </w:p>
        </w:tc>
        <w:tc>
          <w:tcPr>
            <w:tcW w:w="535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      </w:r>
          </w:p>
        </w:tc>
        <w:tc>
          <w:tcPr>
            <w:tcW w:w="4353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окончании календарного года не позднее 25-го числа месяца</w:t>
            </w: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, следующего за отчетным периодом</w:t>
            </w:r>
          </w:p>
        </w:tc>
      </w:tr>
      <w:tr w:rsidR="007A205B" w:rsidRPr="007A205B" w:rsidTr="007A205B">
        <w:trPr>
          <w:trHeight w:val="1170"/>
          <w:tblCellSpacing w:w="15" w:type="dxa"/>
        </w:trPr>
        <w:tc>
          <w:tcPr>
            <w:tcW w:w="342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пенсии по ОПС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трех календарных дней </w:t>
            </w: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 поступления запроса из СФР</w:t>
            </w:r>
          </w:p>
        </w:tc>
        <w:tc>
          <w:tcPr>
            <w:tcW w:w="0" w:type="auto"/>
            <w:vAlign w:val="center"/>
            <w:hideMark/>
          </w:tcPr>
          <w:p w:rsidR="007A205B" w:rsidRPr="007A205B" w:rsidRDefault="007A205B" w:rsidP="007A2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205B" w:rsidRPr="007A205B" w:rsidTr="007A205B">
        <w:trPr>
          <w:trHeight w:val="1170"/>
          <w:tblCellSpacing w:w="15" w:type="dxa"/>
        </w:trPr>
        <w:tc>
          <w:tcPr>
            <w:tcW w:w="342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Назначение выплат по ОСС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трех рабочих дней </w:t>
            </w: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 подачи заявления сотрудником</w:t>
            </w:r>
          </w:p>
        </w:tc>
        <w:tc>
          <w:tcPr>
            <w:tcW w:w="0" w:type="auto"/>
            <w:vAlign w:val="center"/>
            <w:hideMark/>
          </w:tcPr>
          <w:p w:rsidR="007A205B" w:rsidRPr="007A205B" w:rsidRDefault="007A205B" w:rsidP="007A2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205B" w:rsidRPr="007A205B" w:rsidTr="007A205B">
        <w:trPr>
          <w:trHeight w:val="1440"/>
          <w:tblCellSpacing w:w="15" w:type="dxa"/>
        </w:trPr>
        <w:tc>
          <w:tcPr>
            <w:tcW w:w="342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I. Подраздел 1. Подраздел 1.3.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заработной плате</w:t>
            </w:r>
          </w:p>
        </w:tc>
        <w:tc>
          <w:tcPr>
            <w:tcW w:w="535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заработной плате и условиях осуществления трудовой деятельности работников государственных (муниципальных ) учреждений</w:t>
            </w:r>
          </w:p>
        </w:tc>
        <w:tc>
          <w:tcPr>
            <w:tcW w:w="4353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Ежемесячно, не позднее 25-го числа месяца</w:t>
            </w: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, следующего за отчетным</w:t>
            </w:r>
          </w:p>
        </w:tc>
      </w:tr>
      <w:tr w:rsidR="007A205B" w:rsidRPr="007A205B" w:rsidTr="007A205B">
        <w:trPr>
          <w:trHeight w:val="1995"/>
          <w:tblCellSpacing w:w="15" w:type="dxa"/>
        </w:trPr>
        <w:tc>
          <w:tcPr>
            <w:tcW w:w="342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I. Подраздел 2. 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отражения данных о периодах работы, дающего право на досрочное назначение пенсии</w:t>
            </w:r>
          </w:p>
        </w:tc>
        <w:tc>
          <w:tcPr>
            <w:tcW w:w="535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профессий и должностей, рабочих мест по штатному расписанию, фактически работающих, кодов особых условий труда и т.д.</w:t>
            </w:r>
          </w:p>
        </w:tc>
        <w:tc>
          <w:tcPr>
            <w:tcW w:w="4353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окончании календарного года не позднее 25-го числа месяца</w:t>
            </w: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, следующего за отчетным периодом</w:t>
            </w:r>
          </w:p>
        </w:tc>
      </w:tr>
      <w:tr w:rsidR="007A205B" w:rsidRPr="007A205B" w:rsidTr="007A205B">
        <w:trPr>
          <w:trHeight w:val="1785"/>
          <w:tblCellSpacing w:w="15" w:type="dxa"/>
        </w:trPr>
        <w:tc>
          <w:tcPr>
            <w:tcW w:w="342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I. Подраздел 3. 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дополнительных страховых взносах</w:t>
            </w:r>
          </w:p>
        </w:tc>
        <w:tc>
          <w:tcPr>
            <w:tcW w:w="535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застрахованных лицах, за которых перечислены дополнительные страховые взносы на накопительную пенсию и уплачены взносы работодателя</w:t>
            </w:r>
          </w:p>
        </w:tc>
        <w:tc>
          <w:tcPr>
            <w:tcW w:w="4353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окончании первого квартала, полугодия, девяти месяцев и календарного года не позднее 25-го числа месяца</w:t>
            </w: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, следующего за отчетным периодом</w:t>
            </w:r>
          </w:p>
        </w:tc>
      </w:tr>
      <w:tr w:rsidR="007A205B" w:rsidRPr="007A205B" w:rsidTr="007A205B">
        <w:trPr>
          <w:trHeight w:val="1425"/>
          <w:tblCellSpacing w:w="15" w:type="dxa"/>
        </w:trPr>
        <w:tc>
          <w:tcPr>
            <w:tcW w:w="342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II. </w:t>
            </w:r>
          </w:p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начисленных страховых взносах на обязательное социальное страхование</w:t>
            </w:r>
          </w:p>
        </w:tc>
        <w:tc>
          <w:tcPr>
            <w:tcW w:w="5358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</w:t>
            </w:r>
          </w:p>
        </w:tc>
        <w:tc>
          <w:tcPr>
            <w:tcW w:w="4353" w:type="dxa"/>
            <w:vAlign w:val="center"/>
            <w:hideMark/>
          </w:tcPr>
          <w:p w:rsidR="007A205B" w:rsidRPr="007A205B" w:rsidRDefault="007A205B" w:rsidP="007A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Ежеквартально не позднее 25 числа </w:t>
            </w:r>
            <w:r w:rsidRPr="007A205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</w:tbl>
    <w:p w:rsidR="007A205B" w:rsidRPr="007A205B" w:rsidRDefault="007A205B" w:rsidP="007A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Представление сведений о трудовой деятельности на условиях неполного рабочего времени</w:t>
      </w:r>
    </w:p>
    <w:p w:rsidR="007A205B" w:rsidRPr="007A205B" w:rsidRDefault="007A205B" w:rsidP="007A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Отделение СФР по Владимирской области сообщает, что представление сведений о трудовой деятельности на условиях неполного рабочего времени по форме ЕФС-1 является </w:t>
      </w:r>
      <w:r w:rsidRPr="007A205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обязательным</w:t>
      </w:r>
      <w:r w:rsidRPr="007A205B">
        <w:rPr>
          <w:rFonts w:ascii="Times New Roman" w:eastAsia="Times New Roman" w:hAnsi="Times New Roman" w:cs="Times New Roman"/>
          <w:sz w:val="24"/>
          <w:szCs w:val="24"/>
        </w:rPr>
        <w:t xml:space="preserve"> для заполнения всеми страхователями в отношении работников, которые приняты (переведены) на условия неполного рабочего времени, в том числе работают на указанных условиях дистанционно (удаленно) или на дому.</w:t>
      </w:r>
    </w:p>
    <w:p w:rsidR="007A205B" w:rsidRPr="007A205B" w:rsidRDefault="007A205B" w:rsidP="007A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sz w:val="24"/>
          <w:szCs w:val="24"/>
        </w:rPr>
        <w:t>В соответствии с Приказом СФР от 17.11.2023 г. № 2281 сведения о неполном рабочем времени в составе формы ЕФС-1 в подразделе 1.1 сведений о трудовой деятельности представляются в случае:</w:t>
      </w:r>
    </w:p>
    <w:p w:rsidR="007A205B" w:rsidRPr="007A205B" w:rsidRDefault="007A205B" w:rsidP="007A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sz w:val="24"/>
          <w:szCs w:val="24"/>
        </w:rPr>
        <w:t>- приема (перевода) работника на дистанционную (удаленную) работу или работу на дому представляется кадровое мероприятие «ПРИЕМ» («ПЕРЕВОД») с указанием в графе «Код выполняемой функции» дополнительно к коду ОКЗ кода «ДИСТ» или «НДОМ»;</w:t>
      </w:r>
    </w:p>
    <w:p w:rsidR="007A205B" w:rsidRPr="007A205B" w:rsidRDefault="007A205B" w:rsidP="007A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sz w:val="24"/>
          <w:szCs w:val="24"/>
        </w:rPr>
        <w:t>- приема (перевода) сотрудника на работу на условиях неполного рабочего времени представляется кадровое мероприятие «ПРИЕМ» («ПЕРЕВОД») с указанием в графе «Код выполняемой функции» кода «НЕПД» (для неполного рабочего дня) или кода «НЕПН» (для неполной рабочей недели).</w:t>
      </w:r>
    </w:p>
    <w:p w:rsidR="007A205B" w:rsidRPr="007A205B" w:rsidRDefault="007A205B" w:rsidP="007A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05B">
        <w:rPr>
          <w:rFonts w:ascii="Times New Roman" w:eastAsia="Times New Roman" w:hAnsi="Times New Roman" w:cs="Times New Roman"/>
          <w:sz w:val="24"/>
          <w:szCs w:val="24"/>
        </w:rPr>
        <w:t>Обращаем Ваше внимание, что в форме ЕФС-1 может указываться только один код в соответствии со следующей приоритетностью: НЕПД, НЕПН, НДОМ, ДИСТ (приоритет устанавливается для работы в условиях неполного рабочего времени).</w:t>
      </w:r>
    </w:p>
    <w:p w:rsidR="00F75E6F" w:rsidRDefault="00F75E6F"/>
    <w:sectPr w:rsidR="00F75E6F" w:rsidSect="007A2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62AE2"/>
    <w:multiLevelType w:val="multilevel"/>
    <w:tmpl w:val="58B0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205B"/>
    <w:rsid w:val="007A205B"/>
    <w:rsid w:val="00F7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20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A205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043mayakovata</dc:creator>
  <cp:keywords/>
  <dc:description/>
  <cp:lastModifiedBy>043mayakovata</cp:lastModifiedBy>
  <cp:revision>2</cp:revision>
  <dcterms:created xsi:type="dcterms:W3CDTF">2025-08-07T06:30:00Z</dcterms:created>
  <dcterms:modified xsi:type="dcterms:W3CDTF">2025-08-07T06:31:00Z</dcterms:modified>
</cp:coreProperties>
</file>