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0"/>
        <w:rPr>
          <w:rFonts w:ascii="Times New Roman" w:hAnsi="Times New Roman" w:eastAsia="Times New Roman" w:cs="Times New Roman"/>
          <w:b/>
          <w:bCs/>
          <w:kern w:val="2"/>
          <w:sz w:val="32"/>
          <w:szCs w:val="48"/>
          <w:lang w:eastAsia="ru-RU"/>
        </w:rPr>
      </w:pPr>
      <w:r>
        <w:rPr>
          <w:rFonts w:eastAsia="Times New Roman" w:cs="Times New Roman" w:ascii="Times New Roman" w:hAnsi="Times New Roman"/>
          <w:b/>
          <w:bCs/>
          <w:kern w:val="2"/>
          <w:sz w:val="32"/>
          <w:szCs w:val="48"/>
          <w:lang w:eastAsia="ru-RU"/>
        </w:rPr>
        <w:t>Электронный документооборот по обязательному пенсионному страхованию (для представления сведений персонифицированного учета)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Страхователь в случае, если численность работающих у него застрахованных лиц, включая лиц, заключивших договоры ГПХ, за отчетный период превышает 10 человек, представляет сведения по форме ЕФС-1 в форме электронного документа, подписанного УКЭП. В таком же порядке страхователем могут представляться сведения в отношении 10 и менее работающих у него застрахованных лиц, включая лиц, заключивших договоры ГПХ, за отчетный период.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РЕГИСТРАЦИЯ СТРАХОВАТЕЛЕЙ В СИСТЕМЕ ЭДО СФР</w:t>
      </w:r>
    </w:p>
    <w:p>
      <w:pPr>
        <w:pStyle w:val="ListParagraph"/>
        <w:numPr>
          <w:ilvl w:val="0"/>
          <w:numId w:val="3"/>
        </w:numPr>
        <w:spacing w:lineRule="auto" w:line="2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Через Оператора:</w:t>
      </w:r>
    </w:p>
    <w:p>
      <w:pPr>
        <w:pStyle w:val="Normal"/>
        <w:spacing w:lineRule="auto" w:lin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</w:rPr>
        <w:t xml:space="preserve">С 14.07.2026 приказом СФР № 651 от 29.05.2026 исключена обязанность регистрации работодателей в </w:t>
      </w:r>
      <w:r>
        <w:rPr>
          <w:rStyle w:val="Emphasis"/>
          <w:rFonts w:cs="Times New Roman" w:ascii="Times New Roman" w:hAnsi="Times New Roman"/>
          <w:i w:val="false"/>
          <w:sz w:val="24"/>
          <w:szCs w:val="24"/>
        </w:rPr>
        <w:t>ЭДО</w:t>
      </w:r>
      <w:r>
        <w:rPr>
          <w:rFonts w:cs="Times New Roman" w:ascii="Times New Roman" w:hAnsi="Times New Roman"/>
          <w:i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i w:val="false"/>
          <w:sz w:val="24"/>
          <w:szCs w:val="24"/>
        </w:rPr>
        <w:t>СФР</w:t>
      </w:r>
      <w:r>
        <w:rPr>
          <w:rFonts w:cs="Times New Roman" w:ascii="Times New Roman" w:hAnsi="Times New Roman"/>
          <w:sz w:val="24"/>
          <w:szCs w:val="24"/>
        </w:rPr>
        <w:t xml:space="preserve"> путем подачи через оператора заявления на подключение к системе. Регистрация в системе </w:t>
      </w:r>
      <w:r>
        <w:rPr>
          <w:rStyle w:val="Emphasis"/>
          <w:rFonts w:cs="Times New Roman" w:ascii="Times New Roman" w:hAnsi="Times New Roman"/>
          <w:i w:val="false"/>
          <w:sz w:val="24"/>
          <w:szCs w:val="24"/>
        </w:rPr>
        <w:t>электронного</w:t>
      </w:r>
      <w:r>
        <w:rPr>
          <w:rFonts w:cs="Times New Roman" w:ascii="Times New Roman" w:hAnsi="Times New Roman"/>
          <w:i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i w:val="false"/>
          <w:sz w:val="24"/>
          <w:szCs w:val="24"/>
        </w:rPr>
        <w:t>документооборота</w:t>
      </w:r>
      <w:r>
        <w:rPr>
          <w:rFonts w:cs="Times New Roman" w:ascii="Times New Roman" w:hAnsi="Times New Roman"/>
          <w:i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i w:val="false"/>
          <w:sz w:val="24"/>
          <w:szCs w:val="24"/>
        </w:rPr>
        <w:t>СФР</w:t>
      </w:r>
      <w:r>
        <w:rPr>
          <w:rFonts w:cs="Times New Roman" w:ascii="Times New Roman" w:hAnsi="Times New Roman"/>
          <w:sz w:val="24"/>
          <w:szCs w:val="24"/>
        </w:rPr>
        <w:t xml:space="preserve"> работодателей, использующих услуги операторов </w:t>
      </w:r>
      <w:r>
        <w:rPr>
          <w:rStyle w:val="Emphasis"/>
          <w:rFonts w:cs="Times New Roman" w:ascii="Times New Roman" w:hAnsi="Times New Roman"/>
          <w:i w:val="false"/>
          <w:sz w:val="24"/>
          <w:szCs w:val="24"/>
        </w:rPr>
        <w:t>ЭДО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 осуществляется беззаявительно (в проактивном режиме) при первичном представлении индивидуальных сведений в форме электронного документа.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Если отчетность будет подписываться не УКЭП руководителя, а УКЭП уполномоченного представителя, необходимо также </w:t>
      </w:r>
      <w:r>
        <w:rPr>
          <w:rFonts w:cs="Times New Roman" w:ascii="Times New Roman" w:hAnsi="Times New Roman"/>
          <w:sz w:val="24"/>
          <w:szCs w:val="24"/>
        </w:rPr>
        <w:t>оформить машиночитаемую доверенность (далее - МЧД) на представителя и направить ее в СФР для регистрации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. </w:t>
      </w:r>
      <w:r>
        <w:rPr>
          <w:rFonts w:cs="Times New Roman" w:ascii="Times New Roman" w:hAnsi="Times New Roman"/>
          <w:sz w:val="24"/>
          <w:szCs w:val="24"/>
        </w:rPr>
        <w:t xml:space="preserve">Для подачи отчетности уполномоченному представителю в МЧД необходимо предоставить одно из полномочий </w:t>
      </w:r>
      <w:r>
        <w:rPr>
          <w:rFonts w:cs="Times New Roman" w:ascii="Times New Roman" w:hAnsi="Times New Roman"/>
          <w:sz w:val="24"/>
          <w:szCs w:val="24"/>
          <w:lang w:val="en-US"/>
        </w:rPr>
        <w:t>FSS</w:t>
      </w:r>
      <w:r>
        <w:rPr>
          <w:rFonts w:cs="Times New Roman" w:ascii="Times New Roman" w:hAnsi="Times New Roman"/>
          <w:sz w:val="24"/>
          <w:szCs w:val="24"/>
        </w:rPr>
        <w:t xml:space="preserve">_000000, </w:t>
      </w:r>
      <w:r>
        <w:rPr>
          <w:rFonts w:cs="Times New Roman" w:ascii="Times New Roman" w:hAnsi="Times New Roman"/>
          <w:sz w:val="24"/>
          <w:szCs w:val="24"/>
          <w:lang w:val="en-US"/>
        </w:rPr>
        <w:t>FSS</w:t>
      </w:r>
      <w:r>
        <w:rPr>
          <w:rFonts w:cs="Times New Roman" w:ascii="Times New Roman" w:hAnsi="Times New Roman"/>
          <w:sz w:val="24"/>
          <w:szCs w:val="24"/>
        </w:rPr>
        <w:t>_00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 xml:space="preserve">0002, </w:t>
      </w:r>
      <w:r>
        <w:rPr>
          <w:rFonts w:cs="Times New Roman" w:ascii="Times New Roman" w:hAnsi="Times New Roman"/>
          <w:sz w:val="24"/>
          <w:szCs w:val="24"/>
          <w:lang w:val="en-US"/>
        </w:rPr>
        <w:t>SFR</w:t>
      </w:r>
      <w:r>
        <w:rPr>
          <w:rFonts w:cs="Times New Roman" w:ascii="Times New Roman" w:hAnsi="Times New Roman"/>
          <w:sz w:val="24"/>
          <w:szCs w:val="24"/>
        </w:rPr>
        <w:t xml:space="preserve">_000001. Классификатор полномочий размещен на официальном сайте по адресу </w:t>
      </w:r>
      <w:hyperlink r:id="rId2">
        <w:r>
          <w:rPr>
            <w:rStyle w:val="Hyperlink"/>
            <w:rFonts w:cs="Times New Roman" w:ascii="Times New Roman" w:hAnsi="Times New Roman"/>
            <w:sz w:val="24"/>
            <w:szCs w:val="24"/>
            <w:lang w:val="en-US"/>
          </w:rPr>
          <w:t>https</w:t>
        </w:r>
        <w:r>
          <w:rPr>
            <w:rStyle w:val="Hyperlink"/>
            <w:rFonts w:cs="Times New Roman" w:ascii="Times New Roman" w:hAnsi="Times New Roman"/>
            <w:sz w:val="24"/>
            <w:szCs w:val="24"/>
          </w:rPr>
          <w:t>://</w:t>
        </w:r>
        <w:r>
          <w:rPr>
            <w:rStyle w:val="Hyperlink"/>
            <w:rFonts w:cs="Times New Roman" w:ascii="Times New Roman" w:hAnsi="Times New Roman"/>
            <w:sz w:val="24"/>
            <w:szCs w:val="24"/>
            <w:lang w:val="en-US"/>
          </w:rPr>
          <w:t>lk</w:t>
        </w:r>
        <w:r>
          <w:rPr>
            <w:rStyle w:val="Hyperlink"/>
            <w:rFonts w:cs="Times New Roman" w:ascii="Times New Roman" w:hAnsi="Times New Roman"/>
            <w:sz w:val="24"/>
            <w:szCs w:val="24"/>
          </w:rPr>
          <w:t>.</w:t>
        </w:r>
        <w:r>
          <w:rPr>
            <w:rStyle w:val="Hyperlink"/>
            <w:rFonts w:cs="Times New Roman" w:ascii="Times New Roman" w:hAnsi="Times New Roman"/>
            <w:sz w:val="24"/>
            <w:szCs w:val="24"/>
            <w:lang w:val="en-US"/>
          </w:rPr>
          <w:t>sfr</w:t>
        </w:r>
        <w:r>
          <w:rPr>
            <w:rStyle w:val="Hyperlink"/>
            <w:rFonts w:cs="Times New Roman" w:ascii="Times New Roman" w:hAnsi="Times New Roman"/>
            <w:sz w:val="24"/>
            <w:szCs w:val="24"/>
          </w:rPr>
          <w:t>.</w:t>
        </w:r>
        <w:r>
          <w:rPr>
            <w:rStyle w:val="Hyperlink"/>
            <w:rFonts w:cs="Times New Roman" w:ascii="Times New Roman" w:hAnsi="Times New Roman"/>
            <w:sz w:val="24"/>
            <w:szCs w:val="24"/>
            <w:lang w:val="en-US"/>
          </w:rPr>
          <w:t>gov</w:t>
        </w:r>
        <w:r>
          <w:rPr>
            <w:rStyle w:val="Hyperlink"/>
            <w:rFonts w:cs="Times New Roman" w:ascii="Times New Roman" w:hAnsi="Times New Roman"/>
            <w:sz w:val="24"/>
            <w:szCs w:val="24"/>
          </w:rPr>
          <w:t>.</w:t>
        </w:r>
        <w:r>
          <w:rPr>
            <w:rStyle w:val="Hyperlink"/>
            <w:rFonts w:cs="Times New Roman" w:ascii="Times New Roman" w:hAnsi="Times New Roman"/>
            <w:sz w:val="24"/>
            <w:szCs w:val="24"/>
            <w:lang w:val="en-US"/>
          </w:rPr>
          <w:t>ru</w:t>
        </w:r>
        <w:r>
          <w:rPr>
            <w:rStyle w:val="Hyperlink"/>
            <w:rFonts w:cs="Times New Roman" w:ascii="Times New Roman" w:hAnsi="Times New Roman"/>
            <w:sz w:val="24"/>
            <w:szCs w:val="24"/>
          </w:rPr>
          <w:t>/</w:t>
        </w:r>
        <w:r>
          <w:rPr>
            <w:rStyle w:val="Hyperlink"/>
            <w:rFonts w:cs="Times New Roman" w:ascii="Times New Roman" w:hAnsi="Times New Roman"/>
            <w:sz w:val="24"/>
            <w:szCs w:val="24"/>
            <w:lang w:val="en-US"/>
          </w:rPr>
          <w:t>mchd</w:t>
        </w:r>
        <w:r>
          <w:rPr>
            <w:rStyle w:val="Hyperlink"/>
            <w:rFonts w:cs="Times New Roman" w:ascii="Times New Roman" w:hAnsi="Times New Roman"/>
            <w:sz w:val="24"/>
            <w:szCs w:val="24"/>
          </w:rPr>
          <w:t>.</w:t>
        </w:r>
        <w:r>
          <w:rPr>
            <w:rStyle w:val="Hyperlink"/>
            <w:rFonts w:cs="Times New Roman" w:ascii="Times New Roman" w:hAnsi="Times New Roman"/>
            <w:sz w:val="24"/>
            <w:szCs w:val="24"/>
            <w:lang w:val="en-US"/>
          </w:rPr>
          <w:t>html</w:t>
        </w:r>
      </w:hyperlink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120" w:after="0"/>
        <w:ind w:start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2) Через Кабинет Страхователя:</w:t>
      </w:r>
    </w:p>
    <w:p>
      <w:pPr>
        <w:pStyle w:val="Normal"/>
        <w:numPr>
          <w:ilvl w:val="0"/>
          <w:numId w:val="1"/>
        </w:numPr>
        <w:spacing w:lineRule="auto" w:line="2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Зарегистрировать учетную запись в ЕСИА лицу, имеющему право действовать от имени организации без доверенности;</w:t>
      </w:r>
    </w:p>
    <w:p>
      <w:pPr>
        <w:pStyle w:val="Normal"/>
        <w:numPr>
          <w:ilvl w:val="0"/>
          <w:numId w:val="1"/>
        </w:numPr>
        <w:spacing w:lineRule="auto" w:line="2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 первичном входе принять «Условие использования кабинета страхователя».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Для получения доступа к кабинету страхователя уполномоченный представитель страхователя должен быть добавлен страхователем в группу доверенных лиц страхователя в ЕСИА.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ВЗАИМОДЕЙСТВИЕ 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Для представления Единой формы сведений (ЕФС-1) в форме электронного документа страхователь или его представитель формирует указанные сведения в форме электронного документа, заверенного УКЭП, и отправляет через оператора или кабинет страхователя в территориальный орган СФР.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Датой представления индивидуальных сведений в форме электронного документа через оператора считается дата их отправки в адрес СФР, о чем  оператором делается соответствующая отметка в документе «Опись содержания пакета». Если сведения направляются с использованием кабинета страхователя, то датой представления считается дата, зафиксированная в документе «Квитанция о регистрации».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течение одного рабочего дня с момента поступления сведений СФР направляет страхователю подтверждение получения указанных сведений – уведомление о доставке.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течение следующих трех рабочих дней СФР обрабатывает и осуществляет проверку полученных сведений.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 результатам проведенных проверок страхователю могут быть направлены:</w:t>
      </w:r>
    </w:p>
    <w:p>
      <w:pPr>
        <w:pStyle w:val="Normal"/>
        <w:numPr>
          <w:ilvl w:val="0"/>
          <w:numId w:val="2"/>
        </w:numPr>
        <w:spacing w:lineRule="auto" w:line="240" w:beforeAutospacing="1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Уведомление об отказе в приеме пакета;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Уведомление об устранении ошибок и (или) несоответствий между представленными страхователем индивидуальными сведениями в форме электронного документа и сведениями, имеющимися у СФР;</w:t>
      </w:r>
    </w:p>
    <w:p>
      <w:pPr>
        <w:pStyle w:val="Normal"/>
        <w:numPr>
          <w:ilvl w:val="0"/>
          <w:numId w:val="2"/>
        </w:numPr>
        <w:spacing w:lineRule="auto" w:line="240" w:before="0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Протокол проверки отчетности.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ВАЖНО!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За несоблюдение страхователем порядка представления сведений в форме электронных документов в случаях, предусмотренных Федеральным законом от 1 апреля 1996 года № 27-ФЗ «Об индивидуальном (персонифицированном) учете в системах обязательного пенсионного страхования и обязательного социального страхования», к такому страхователю применяются финансовые санкции в размере 1000 рублей.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Для подготовки и проверки документов персонифицированного учета на официальном сайте CФР (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 xml:space="preserve">sfr.gov.ru - раздел «Страхователям» - «Программное обеспечение»)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размещено и своевременно обновляется бесплатное программное обеспечение.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decimal"/>
      <w:lvlText w:val="%1)"/>
      <w:lvlJc w:val="start"/>
      <w:pPr>
        <w:tabs>
          <w:tab w:val="num" w:pos="0"/>
        </w:tabs>
        <w:ind w:start="108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0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2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4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6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8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0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2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4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7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11b1e"/>
    <w:pPr>
      <w:widowControl/>
      <w:bidi w:val="0"/>
      <w:spacing w:lineRule="auto" w:line="276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df44d6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df44d6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rong">
    <w:name w:val="Strong"/>
    <w:basedOn w:val="DefaultParagraphFont"/>
    <w:uiPriority w:val="22"/>
    <w:qFormat/>
    <w:rsid w:val="00df44d6"/>
    <w:rPr>
      <w:b/>
      <w:bCs/>
    </w:rPr>
  </w:style>
  <w:style w:type="character" w:styleId="Emphasis">
    <w:name w:val="Emphasis"/>
    <w:basedOn w:val="DefaultParagraphFont"/>
    <w:uiPriority w:val="20"/>
    <w:qFormat/>
    <w:rsid w:val="00df44d6"/>
    <w:rPr>
      <w:i/>
      <w:iCs/>
    </w:rPr>
  </w:style>
  <w:style w:type="character" w:styleId="Hyperlink">
    <w:name w:val="Hyperlink"/>
    <w:basedOn w:val="DefaultParagraphFont"/>
    <w:uiPriority w:val="99"/>
    <w:unhideWhenUsed/>
    <w:rsid w:val="00747fce"/>
    <w:rPr>
      <w:color w:themeColor="hyperlink" w:val="0000FF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semiHidden/>
    <w:unhideWhenUsed/>
    <w:qFormat/>
    <w:rsid w:val="00df44d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b66efb"/>
    <w:pPr>
      <w:spacing w:before="0" w:after="0"/>
      <w:ind w:start="720"/>
      <w:contextualSpacing/>
    </w:pPr>
    <w:rPr/>
  </w:style>
  <w:style w:type="numbering" w:styleId="Style1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k.sfr.gov.ru/mchd.htm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LibreOffice/25.8.4.2$Linux_X86_64 LibreOffice_project/580$Build-2</Application>
  <AppVersion>15.0000</AppVersion>
  <Pages>2</Pages>
  <Words>452</Words>
  <Characters>3297</Characters>
  <CharactersWithSpaces>3726</CharactersWithSpaces>
  <Paragraphs>21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2026-08-03T08:18:00Z</dcterms:created>
  <dc:creator>Махрова Лариса Анатольевна</dc:creator>
  <dc:description/>
  <dc:language>ru-RU</dc:language>
  <cp:lastModifiedBy>Зуева Ирина Николаевна</cp:lastModifiedBy>
  <dcterms:modified xsi:type="dcterms:W3CDTF">2026-08-03T08:18:00Z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