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header3.xml" ContentType="application/vnd.openxmlformats-officedocument.wordprocessingml.header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Web"/>
        <w:tabs>
          <w:tab w:val="clear" w:pos="708"/>
          <w:tab w:val="left" w:pos="3810" w:leader="none"/>
        </w:tabs>
        <w:spacing w:beforeAutospacing="0" w:before="0"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>Специальный налоговый  режим</w:t>
      </w:r>
    </w:p>
    <w:p>
      <w:pPr>
        <w:pStyle w:val="NormalWeb"/>
        <w:tabs>
          <w:tab w:val="clear" w:pos="708"/>
          <w:tab w:val="left" w:pos="3810" w:leader="none"/>
        </w:tabs>
        <w:spacing w:beforeAutospacing="0" w:before="0"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</w:t>
      </w:r>
      <w:r>
        <w:rPr>
          <w:b/>
          <w:sz w:val="26"/>
          <w:szCs w:val="26"/>
        </w:rPr>
        <w:t>«Автоматизированная упрощенная система налогообложения»</w:t>
      </w:r>
    </w:p>
    <w:p>
      <w:pPr>
        <w:pStyle w:val="NormalWeb"/>
        <w:tabs>
          <w:tab w:val="clear" w:pos="708"/>
          <w:tab w:val="left" w:pos="3810" w:leader="none"/>
        </w:tabs>
        <w:spacing w:beforeAutospacing="0" w:before="0" w:after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С 1 января 2026 года на территории Забайкальского края  введен специальный налоговый  режим «Автоматизированная упрощенная система налогообложения» (далее - АУСН).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На сайте ФНС России (https://ausn.nalog.gov.ru) размещается перечень субъектов Российской Федерации, участвующих в эксперименте по ведению режима АУСН.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соответствии с пунктом 2.2 статьи 22 Федерального закона № 125-ФЗ</w:t>
      </w:r>
      <w:r>
        <w:rPr>
          <w:rStyle w:val="FootnoteReference"/>
          <w:rFonts w:cs="Times New Roman" w:ascii="Times New Roman" w:hAnsi="Times New Roman"/>
          <w:sz w:val="26"/>
          <w:szCs w:val="26"/>
        </w:rPr>
        <w:footnoteReference w:id="2"/>
      </w:r>
      <w:r>
        <w:rPr>
          <w:rFonts w:cs="Times New Roman" w:ascii="Times New Roman" w:hAnsi="Times New Roman"/>
          <w:sz w:val="26"/>
          <w:szCs w:val="26"/>
        </w:rPr>
        <w:t>.  страхователи, применяющие режим АУСН, уплачивают «Страховые взносы на обязательное социальное страхование от несчастных случаев на производстве и профессиональных заболеваний», (далее страховые взносы на ОСС от НСиПЗ)   в фиксированном размере, который подлежит ежегодной индексации с 1 января соответствующего года,  с учетом роста средней заработной платы в Российской Федерации и устанавливается ежегодно Правительством Российской Федерации.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Фиксированный размер страховых взносов на ОСС от НСиПЗ  для страхователей, применяющих режим АУСН, в соответствии с постановлением Правительства Российской Федерации от 01 ноября 2025 г. № 1729  на 2026 год составляет </w:t>
      </w:r>
      <w:r>
        <w:rPr>
          <w:rFonts w:cs="Times New Roman" w:ascii="Times New Roman" w:hAnsi="Times New Roman"/>
          <w:b/>
          <w:sz w:val="26"/>
          <w:szCs w:val="26"/>
        </w:rPr>
        <w:t>2959</w:t>
      </w:r>
      <w:r>
        <w:rPr>
          <w:rFonts w:cs="Times New Roman" w:ascii="Times New Roman" w:hAnsi="Times New Roman"/>
          <w:sz w:val="26"/>
          <w:szCs w:val="26"/>
        </w:rPr>
        <w:t xml:space="preserve"> рублей.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При этом уплата страховых взносов на ОСС от НСиПЗ осуществляется ежемесячно в размере 1/12 фиксированного страхового взноса (т.е. 246, 59 рублей в месяц), в срок </w:t>
      </w:r>
      <w:r>
        <w:rPr>
          <w:rFonts w:eastAsia="Times New Roman" w:cs="Times New Roman" w:ascii="Times New Roman" w:hAnsi="Times New Roman"/>
          <w:b/>
          <w:sz w:val="26"/>
          <w:szCs w:val="26"/>
        </w:rPr>
        <w:t>не позднее 15-го числа календарного месяца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, следующего за календарным месяцем, за который начисляются страховые взносы.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 </w:t>
      </w:r>
      <w:r>
        <w:rPr>
          <w:rFonts w:eastAsia="Times New Roman" w:cs="Times New Roman" w:ascii="Times New Roman" w:hAnsi="Times New Roman"/>
          <w:b/>
          <w:sz w:val="26"/>
          <w:szCs w:val="26"/>
        </w:rPr>
        <w:t>Реквизиты для оплаты с 22.02.2026г.</w:t>
      </w:r>
      <w:r>
        <w:rPr>
          <w:rFonts w:eastAsia="Times New Roman" w:cs="Times New Roman" w:ascii="Times New Roman" w:hAnsi="Times New Roman"/>
          <w:sz w:val="26"/>
          <w:szCs w:val="26"/>
        </w:rPr>
        <w:t xml:space="preserve">: 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Получатель: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fldChar w:fldCharType="begin"/>
      </w:r>
      <w:r>
        <w:rPr>
          <w:rFonts w:ascii="Times New Roman" w:hAnsi="Times New Roman"/>
          <w:sz w:val="24"/>
          <w:szCs w:val="24"/>
          <w:u w:val="single"/>
        </w:rPr>
        <w:instrText xml:space="preserve"> MERGEFIELD $!params.col5 </w:instrText>
      </w:r>
      <w:r>
        <w:rPr>
          <w:rFonts w:ascii="Times New Roman" w:hAnsi="Times New Roman"/>
          <w:sz w:val="24"/>
          <w:szCs w:val="24"/>
          <w:u w:val="single"/>
        </w:rPr>
        <w:fldChar w:fldCharType="separate"/>
      </w:r>
      <w:r>
        <w:rPr>
          <w:rFonts w:ascii="Times New Roman" w:hAnsi="Times New Roman"/>
          <w:sz w:val="24"/>
          <w:szCs w:val="24"/>
          <w:u w:val="single"/>
        </w:rPr>
        <w:t>УФК по Забайкальскому краю (ОСФР ПО ЗАБАЙКАЛЬСКОМУ КРАЮ л/с 04914Ф91010)</w:t>
      </w:r>
      <w:r>
        <w:rPr>
          <w:rFonts w:ascii="Times New Roman" w:hAnsi="Times New Roman"/>
          <w:sz w:val="24"/>
          <w:szCs w:val="24"/>
          <w:u w:val="single"/>
        </w:rPr>
        <w:fldChar w:fldCharType="end"/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ИНН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fldChar w:fldCharType="begin"/>
      </w:r>
      <w:r>
        <w:rPr>
          <w:rFonts w:ascii="Times New Roman" w:hAnsi="Times New Roman"/>
          <w:sz w:val="24"/>
          <w:szCs w:val="24"/>
          <w:u w:val="single"/>
        </w:rPr>
        <w:instrText xml:space="preserve"> MERGEFIELD $!params.col6 </w:instrText>
      </w:r>
      <w:r>
        <w:rPr>
          <w:rFonts w:ascii="Times New Roman" w:hAnsi="Times New Roman"/>
          <w:sz w:val="24"/>
          <w:szCs w:val="24"/>
          <w:u w:val="single"/>
        </w:rPr>
        <w:fldChar w:fldCharType="separate"/>
      </w:r>
      <w:r>
        <w:rPr>
          <w:rFonts w:ascii="Times New Roman" w:hAnsi="Times New Roman"/>
          <w:sz w:val="24"/>
          <w:szCs w:val="24"/>
          <w:u w:val="single"/>
        </w:rPr>
        <w:t>7536008244</w:t>
      </w:r>
      <w:r>
        <w:rPr>
          <w:rFonts w:ascii="Times New Roman" w:hAnsi="Times New Roman"/>
          <w:sz w:val="24"/>
          <w:szCs w:val="24"/>
          <w:u w:val="single"/>
        </w:rPr>
        <w:fldChar w:fldCharType="end"/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КПП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fldChar w:fldCharType="begin"/>
      </w:r>
      <w:r>
        <w:rPr>
          <w:rFonts w:ascii="Times New Roman" w:hAnsi="Times New Roman"/>
          <w:sz w:val="24"/>
          <w:szCs w:val="24"/>
          <w:u w:val="single"/>
        </w:rPr>
        <w:instrText xml:space="preserve"> MERGEFIELD $!params.col7 </w:instrText>
      </w:r>
      <w:r>
        <w:rPr>
          <w:rFonts w:ascii="Times New Roman" w:hAnsi="Times New Roman"/>
          <w:sz w:val="24"/>
          <w:szCs w:val="24"/>
          <w:u w:val="single"/>
        </w:rPr>
        <w:fldChar w:fldCharType="separate"/>
      </w:r>
      <w:r>
        <w:rPr>
          <w:rFonts w:ascii="Times New Roman" w:hAnsi="Times New Roman"/>
          <w:sz w:val="24"/>
          <w:szCs w:val="24"/>
          <w:u w:val="single"/>
        </w:rPr>
        <w:t>753601001</w:t>
      </w:r>
      <w:r>
        <w:rPr>
          <w:rFonts w:ascii="Times New Roman" w:hAnsi="Times New Roman"/>
          <w:sz w:val="24"/>
          <w:szCs w:val="24"/>
          <w:u w:val="single"/>
        </w:rPr>
        <w:fldChar w:fldCharType="end"/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Казначейский счет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fldChar w:fldCharType="begin"/>
      </w:r>
      <w:r>
        <w:rPr>
          <w:rFonts w:ascii="Times New Roman" w:hAnsi="Times New Roman"/>
          <w:sz w:val="24"/>
          <w:szCs w:val="24"/>
          <w:u w:val="single"/>
        </w:rPr>
        <w:instrText xml:space="preserve"> MERGEFIELD $!params.col8 </w:instrText>
      </w:r>
      <w:r>
        <w:rPr>
          <w:rFonts w:ascii="Times New Roman" w:hAnsi="Times New Roman"/>
          <w:sz w:val="24"/>
          <w:szCs w:val="24"/>
          <w:u w:val="single"/>
        </w:rPr>
        <w:fldChar w:fldCharType="separate"/>
      </w:r>
      <w:r>
        <w:rPr>
          <w:rFonts w:ascii="Times New Roman" w:hAnsi="Times New Roman"/>
          <w:sz w:val="24"/>
          <w:szCs w:val="24"/>
          <w:u w:val="single"/>
        </w:rPr>
        <w:t>03100643000000019100</w:t>
      </w:r>
      <w:r>
        <w:rPr>
          <w:rFonts w:ascii="Times New Roman" w:hAnsi="Times New Roman"/>
          <w:sz w:val="24"/>
          <w:szCs w:val="24"/>
          <w:u w:val="single"/>
        </w:rPr>
        <w:fldChar w:fldCharType="end"/>
      </w:r>
    </w:p>
    <w:p>
      <w:pPr>
        <w:pStyle w:val="Normal"/>
        <w:spacing w:lineRule="auto" w:line="240" w:before="0" w:after="0"/>
        <w:rPr>
          <w:rFonts w:ascii="Times New Roman" w:hAnsi="Times New Roman"/>
          <w:b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 xml:space="preserve">Банк получателя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fldChar w:fldCharType="begin"/>
      </w:r>
      <w:r>
        <w:rPr>
          <w:rFonts w:ascii="Times New Roman" w:hAnsi="Times New Roman"/>
          <w:sz w:val="24"/>
          <w:szCs w:val="24"/>
          <w:u w:val="single"/>
        </w:rPr>
        <w:instrText xml:space="preserve"> MERGEFIELD $!params.col16 </w:instrText>
      </w:r>
      <w:r>
        <w:rPr>
          <w:rFonts w:ascii="Times New Roman" w:hAnsi="Times New Roman"/>
          <w:sz w:val="24"/>
          <w:szCs w:val="24"/>
          <w:u w:val="single"/>
        </w:rPr>
        <w:fldChar w:fldCharType="separate"/>
      </w:r>
      <w:r>
        <w:rPr>
          <w:rFonts w:ascii="Times New Roman" w:hAnsi="Times New Roman"/>
          <w:sz w:val="24"/>
          <w:szCs w:val="24"/>
          <w:u w:val="single"/>
        </w:rPr>
        <w:t>ОКЦ № 1 ДГУ Банка России//УФК по Забайкальскому краю, г. Чита</w:t>
      </w:r>
      <w:r>
        <w:rPr>
          <w:rFonts w:ascii="Times New Roman" w:hAnsi="Times New Roman"/>
          <w:sz w:val="24"/>
          <w:szCs w:val="24"/>
          <w:u w:val="single"/>
        </w:rPr>
        <w:fldChar w:fldCharType="end"/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ЕКС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40102810945370000120</w:t>
      </w:r>
    </w:p>
    <w:p>
      <w:pPr>
        <w:pStyle w:val="Normal"/>
        <w:spacing w:lineRule="auto" w:line="240" w:before="0" w:after="0"/>
        <w:rPr>
          <w:rFonts w:ascii="Times New Roman" w:hAnsi="Times New Roman"/>
          <w:sz w:val="24"/>
          <w:szCs w:val="24"/>
          <w:u w:val="single"/>
        </w:rPr>
      </w:pPr>
      <w:r>
        <w:rPr>
          <w:rFonts w:ascii="Times New Roman" w:hAnsi="Times New Roman"/>
          <w:b/>
          <w:sz w:val="24"/>
          <w:szCs w:val="24"/>
        </w:rPr>
        <w:t>БИК</w:t>
      </w:r>
      <w:r>
        <w:rPr>
          <w:rFonts w:ascii="Times New Roman" w:hAnsi="Times New Roman"/>
          <w:b/>
          <w:sz w:val="24"/>
          <w:szCs w:val="24"/>
          <w:lang w:val="en-US"/>
        </w:rPr>
        <w:t xml:space="preserve"> </w:t>
      </w:r>
      <w:r>
        <w:rPr>
          <w:rFonts w:ascii="Times New Roman" w:hAnsi="Times New Roman"/>
          <w:b/>
          <w:sz w:val="24"/>
          <w:szCs w:val="24"/>
          <w:u w:val="single"/>
          <w:lang w:val="en-US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t>040507120</w:t>
      </w:r>
    </w:p>
    <w:p>
      <w:pPr>
        <w:pStyle w:val="Normal"/>
        <w:spacing w:lineRule="auto" w:line="240" w:before="0" w:after="0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ascii="Times New Roman" w:hAnsi="Times New Roman"/>
          <w:b/>
          <w:sz w:val="24"/>
          <w:szCs w:val="24"/>
        </w:rPr>
        <w:t xml:space="preserve">ОКТМО </w:t>
      </w:r>
      <w:r>
        <w:rPr>
          <w:rFonts w:ascii="Times New Roman" w:hAnsi="Times New Roman"/>
          <w:b/>
          <w:sz w:val="24"/>
          <w:szCs w:val="24"/>
          <w:u w:val="single"/>
        </w:rPr>
        <w:t xml:space="preserve"> </w:t>
      </w:r>
      <w:r>
        <w:rPr>
          <w:rFonts w:ascii="Times New Roman" w:hAnsi="Times New Roman"/>
          <w:sz w:val="24"/>
          <w:szCs w:val="24"/>
          <w:u w:val="single"/>
        </w:rPr>
        <w:fldChar w:fldCharType="begin"/>
      </w:r>
      <w:r>
        <w:rPr>
          <w:rFonts w:ascii="Times New Roman" w:hAnsi="Times New Roman"/>
          <w:sz w:val="24"/>
          <w:szCs w:val="24"/>
          <w:u w:val="single"/>
        </w:rPr>
        <w:instrText xml:space="preserve"> MERGEFIELD $!params.col10 </w:instrText>
      </w:r>
      <w:r>
        <w:rPr>
          <w:rFonts w:ascii="Times New Roman" w:hAnsi="Times New Roman"/>
          <w:sz w:val="24"/>
          <w:szCs w:val="24"/>
          <w:u w:val="single"/>
        </w:rPr>
        <w:fldChar w:fldCharType="separate"/>
      </w:r>
      <w:r>
        <w:rPr>
          <w:rFonts w:ascii="Times New Roman" w:hAnsi="Times New Roman"/>
          <w:sz w:val="24"/>
          <w:szCs w:val="24"/>
          <w:u w:val="single"/>
        </w:rPr>
        <w:t>76701000</w:t>
      </w:r>
      <w:r>
        <w:rPr>
          <w:rFonts w:ascii="Times New Roman" w:hAnsi="Times New Roman"/>
          <w:sz w:val="24"/>
          <w:szCs w:val="24"/>
          <w:u w:val="single"/>
        </w:rPr>
        <w:fldChar w:fldCharType="end"/>
      </w:r>
      <w:bookmarkStart w:id="0" w:name="_GoBack"/>
      <w:bookmarkEnd w:id="0"/>
      <w:r>
        <w:rPr>
          <w:rFonts w:eastAsia="Times New Roman" w:cs="Times New Roman" w:ascii="Times New Roman" w:hAnsi="Times New Roman"/>
          <w:sz w:val="26"/>
          <w:szCs w:val="26"/>
        </w:rPr>
        <w:t xml:space="preserve">, 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в т.ч. по КБК: 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-страховые взносы 79710212000061000160;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-пени 79710212000062100160.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Autospacing="1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Уплату страховых взносов можно произвести любым удобным способом:</w:t>
      </w:r>
    </w:p>
    <w:p>
      <w:pPr>
        <w:pStyle w:val="Normal"/>
        <w:numPr>
          <w:ilvl w:val="0"/>
          <w:numId w:val="2"/>
        </w:numPr>
        <w:spacing w:lineRule="auto" w:line="240" w:beforeAutospacing="1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с помощью расчетного счета в банке;</w:t>
      </w:r>
    </w:p>
    <w:p>
      <w:pPr>
        <w:pStyle w:val="Normal"/>
        <w:numPr>
          <w:ilvl w:val="0"/>
          <w:numId w:val="2"/>
        </w:numPr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  <w:lang w:eastAsia="ru-RU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 терминале самообслуживания;</w:t>
      </w:r>
    </w:p>
    <w:p>
      <w:pPr>
        <w:pStyle w:val="Normal"/>
        <w:numPr>
          <w:ilvl w:val="0"/>
          <w:numId w:val="2"/>
        </w:numPr>
        <w:spacing w:lineRule="auto" w:line="240" w:before="0" w:afterAutospacing="1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  <w:lang w:eastAsia="ru-RU"/>
        </w:rPr>
        <w:t>в кассе банка или с помощью банкомата.</w:t>
      </w:r>
    </w:p>
    <w:p>
      <w:pPr>
        <w:pStyle w:val="Normal"/>
        <w:spacing w:lineRule="auto" w:line="240" w:beforeAutospacing="1" w:afterAutospacing="1"/>
        <w:ind w:start="142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b/>
          <w:sz w:val="26"/>
          <w:szCs w:val="26"/>
        </w:rPr>
        <w:t>Организации и индивидуальные предприниматели</w:t>
      </w:r>
      <w:r>
        <w:rPr>
          <w:rFonts w:cs="Times New Roman" w:ascii="Times New Roman" w:hAnsi="Times New Roman"/>
          <w:sz w:val="26"/>
          <w:szCs w:val="26"/>
        </w:rPr>
        <w:t>, изъявившие желание перейти на специальный налоговый режим, уведомляют об этом налоговый орган.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Обращаем внимание, что </w:t>
      </w:r>
      <w:r>
        <w:rPr>
          <w:rFonts w:cs="Times New Roman" w:ascii="Times New Roman" w:hAnsi="Times New Roman"/>
          <w:b/>
          <w:sz w:val="26"/>
          <w:szCs w:val="26"/>
        </w:rPr>
        <w:t>филиалы и (или) обособленные подразделения</w:t>
      </w:r>
      <w:r>
        <w:rPr>
          <w:rFonts w:cs="Times New Roman" w:ascii="Times New Roman" w:hAnsi="Times New Roman"/>
          <w:sz w:val="26"/>
          <w:szCs w:val="26"/>
        </w:rPr>
        <w:t xml:space="preserve"> </w:t>
      </w:r>
      <w:r>
        <w:rPr>
          <w:rFonts w:cs="Times New Roman" w:ascii="Times New Roman" w:hAnsi="Times New Roman"/>
          <w:b/>
          <w:sz w:val="26"/>
          <w:szCs w:val="26"/>
        </w:rPr>
        <w:t>не вправе</w:t>
      </w:r>
      <w:r>
        <w:rPr>
          <w:rFonts w:cs="Times New Roman" w:ascii="Times New Roman" w:hAnsi="Times New Roman"/>
          <w:sz w:val="26"/>
          <w:szCs w:val="26"/>
        </w:rPr>
        <w:t xml:space="preserve"> применять специальный налоговый режим.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>В отношении страхователя применяющего режим АУСН, не применимы тарифы страховых взносов по обязательному социальному страхованию от несчастных случаев на производстве и профессиональных заболеваний и документ о страховом тарифе на обязательное социальное страхование от несчастных случаев на производстве и профессиональных заболеваний, в соответствии с пунктом 2 статьи 6 Федерального закона № 125-ФЗ, не направляется.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cs="Times New Roman" w:ascii="Times New Roman" w:hAnsi="Times New Roman"/>
          <w:sz w:val="26"/>
          <w:szCs w:val="26"/>
        </w:rPr>
        <w:t xml:space="preserve">В случае поступления сведений от ФНС России о прекращении страхователями применения </w:t>
      </w:r>
      <w:hyperlink r:id="rId2">
        <w:r>
          <w:rPr>
            <w:rStyle w:val="Style9"/>
            <w:rFonts w:cs="Times New Roman" w:ascii="Times New Roman" w:hAnsi="Times New Roman"/>
            <w:sz w:val="26"/>
            <w:szCs w:val="26"/>
          </w:rPr>
          <w:t>режима</w:t>
        </w:r>
      </w:hyperlink>
      <w:r>
        <w:rPr>
          <w:rFonts w:cs="Times New Roman" w:ascii="Times New Roman" w:hAnsi="Times New Roman"/>
          <w:sz w:val="26"/>
          <w:szCs w:val="26"/>
        </w:rPr>
        <w:t xml:space="preserve"> АУСН, сведения о примененном ОКВЭД  обновляются и автоматически формируется документ о страховом тарифе на обязательное социальное страхование от несчастных случаев на производстве и профессиональных заболеваний.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В соответствии с подпунктом 21 пункта 2 статьи 17, подпунктом 1.6 статьи 24, пунктом 3 статьи 26.3 Федерального закона № 125-ФЗ у страхователей, применяющих режим АУСН, </w:t>
      </w:r>
      <w:r>
        <w:rPr>
          <w:rFonts w:eastAsia="Times New Roman" w:cs="Times New Roman" w:ascii="Times New Roman" w:hAnsi="Times New Roman"/>
          <w:b/>
          <w:sz w:val="26"/>
          <w:szCs w:val="26"/>
        </w:rPr>
        <w:t>отсутствует обязанность по подтверждению основного вида экономической деятельности и представлению сведений о начисленных страховых взносах</w:t>
      </w:r>
      <w:r>
        <w:rPr>
          <w:rFonts w:eastAsia="Times New Roman" w:cs="Times New Roman" w:ascii="Times New Roman" w:hAnsi="Times New Roman"/>
          <w:sz w:val="26"/>
          <w:szCs w:val="26"/>
        </w:rPr>
        <w:t>. Страхователям, применяющим режим АУСН, отсрочка (рассрочка) по уплате страховых взносов не предоставляется.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Наряду с этим сообщаем, что отчетность по форме ЕФС-1 с подразделом 1.1 — при приёме, увольнении и других кадровых изменениях и форму ЕФС-1 с подразделом 1.2, страхователи, применяющие режим АУСН, представляют в установленном порядке,  в соответствии с  нормами закона № 27-ФЗ</w:t>
      </w:r>
      <w:r>
        <w:rPr>
          <w:rStyle w:val="FootnoteReference"/>
          <w:rFonts w:eastAsia="Times New Roman" w:cs="Times New Roman" w:ascii="Times New Roman" w:hAnsi="Times New Roman"/>
          <w:sz w:val="26"/>
          <w:szCs w:val="26"/>
        </w:rPr>
        <w:footnoteReference w:id="3"/>
      </w:r>
      <w:r>
        <w:rPr/>
        <w:t>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>Согласно абзацу 2 пункта 2 статьи 26.15 и абзацу 2 пункта 1 статьи 26.16 Федерального закона № 125-ФЗ камеральная и выездная проверки в отношении страхователя, применяющего режим АУСН, не проводятся (за исключением камеральной проверки, предметом которой являются полнота и достоверность представляемых страхователем или застрахованным (лицом, имеющим право на получение страховых выплат в случае смерти застрахованного лица) сведений и документов, необходимых для назначения и выплаты обеспечения по страхованию).</w:t>
      </w:r>
    </w:p>
    <w:p>
      <w:pPr>
        <w:pStyle w:val="Normal"/>
        <w:spacing w:lineRule="auto" w:line="240" w:before="0" w:after="0"/>
        <w:ind w:firstLine="709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  <w:t xml:space="preserve">Обращаем Ваше внимание, что неуплата или неполная уплата сумм  страховых взносов на ОСС от НСиПЗ по АУСН влечет за собой начисление пени и   взыскивается в соответствии </w:t>
      </w:r>
      <w:r>
        <w:rPr>
          <w:sz w:val="26"/>
          <w:szCs w:val="26"/>
        </w:rPr>
        <w:t xml:space="preserve">с </w:t>
      </w:r>
      <w:r>
        <w:rPr>
          <w:rFonts w:eastAsia="Times New Roman" w:cs="Times New Roman" w:ascii="Times New Roman" w:hAnsi="Times New Roman"/>
          <w:sz w:val="26"/>
          <w:szCs w:val="26"/>
        </w:rPr>
        <w:t>Федеральным законом № 125-ФЗ.</w:t>
      </w:r>
    </w:p>
    <w:p>
      <w:pPr>
        <w:pStyle w:val="Normal"/>
        <w:spacing w:lineRule="auto" w:line="240" w:before="0" w:after="0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sz w:val="26"/>
          <w:szCs w:val="26"/>
        </w:rPr>
      </w:r>
    </w:p>
    <w:p>
      <w:pPr>
        <w:pStyle w:val="Normal"/>
        <w:spacing w:lineRule="auto" w:line="240" w:before="0" w:afterAutospacing="1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</w:r>
    </w:p>
    <w:p>
      <w:pPr>
        <w:pStyle w:val="Normal"/>
        <w:spacing w:lineRule="auto" w:line="240" w:before="0" w:afterAutospacing="1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 xml:space="preserve">Телефон горячей линии:8 (3022) 21-04-21 доб.2 </w:t>
      </w:r>
    </w:p>
    <w:p>
      <w:pPr>
        <w:pStyle w:val="Normal"/>
        <w:spacing w:lineRule="auto" w:line="240" w:before="0" w:afterAutospacing="1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г. Краснокаменск: 8 (30) 245 (6-17-39)</w:t>
      </w:r>
    </w:p>
    <w:p>
      <w:pPr>
        <w:pStyle w:val="Normal"/>
        <w:spacing w:lineRule="auto" w:line="240" w:before="0" w:afterAutospacing="1"/>
        <w:jc w:val="both"/>
        <w:rPr>
          <w:rFonts w:ascii="Times New Roman" w:hAnsi="Times New Roman" w:eastAsia="Times New Roman" w:cs="Times New Roman"/>
          <w:bCs/>
          <w:sz w:val="24"/>
          <w:szCs w:val="24"/>
          <w:lang w:eastAsia="ru-RU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г. Шилка: 8 (30) 244 (2-06-24)</w:t>
      </w:r>
    </w:p>
    <w:p>
      <w:pPr>
        <w:pStyle w:val="Normal"/>
        <w:spacing w:lineRule="auto" w:line="240" w:before="0" w:afterAutospacing="1"/>
        <w:jc w:val="both"/>
        <w:rPr>
          <w:rFonts w:ascii="Times New Roman" w:hAnsi="Times New Roman" w:eastAsia="Times New Roman" w:cs="Times New Roman"/>
          <w:sz w:val="26"/>
          <w:szCs w:val="26"/>
        </w:rPr>
      </w:pPr>
      <w:r>
        <w:rPr>
          <w:rFonts w:eastAsia="Times New Roman" w:cs="Times New Roman" w:ascii="Times New Roman" w:hAnsi="Times New Roman"/>
          <w:bCs/>
          <w:sz w:val="24"/>
          <w:szCs w:val="24"/>
          <w:lang w:eastAsia="ru-RU"/>
        </w:rPr>
        <w:t>п.Агинское: 8 (30) 239-3-46-24</w:t>
      </w:r>
    </w:p>
    <w:sectPr>
      <w:headerReference w:type="even" r:id="rId3"/>
      <w:headerReference w:type="default" r:id="rId4"/>
      <w:headerReference w:type="first" r:id="rId5"/>
      <w:footerReference w:type="even" r:id="rId6"/>
      <w:footerReference w:type="default" r:id="rId7"/>
      <w:footerReference w:type="first" r:id="rId8"/>
      <w:footnotePr>
        <w:numFmt w:val="decimal"/>
      </w:footnotePr>
      <w:type w:val="nextPage"/>
      <w:pgSz w:w="11906" w:h="16838"/>
      <w:pgMar w:left="1701" w:right="850" w:gutter="0" w:header="708" w:top="1134" w:footer="708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1" w:characterSet="utf-8"/>
    <w:family w:val="roman"/>
    <w:pitch w:val="variable"/>
  </w:font>
  <w:font w:name="Calibri">
    <w:charset w:val="01"/>
    <w:family w:val="roman"/>
    <w:pitch w:val="default"/>
  </w:font>
  <w:font w:name="Times New Roman">
    <w:charset w:val="01"/>
    <w:family w:val="roman"/>
    <w:pitch w:val="default"/>
  </w:font>
  <w:font w:name="Tahoma">
    <w:charset w:val="01"/>
    <w:family w:val="swiss"/>
    <w:pitch w:val="default"/>
  </w:font>
  <w:font w:name="PT Astra Serif">
    <w:charset w:val="01"/>
    <w:family w:val="roman"/>
    <w:pitch w:val="default"/>
  </w:font>
  <w:font w:name="Symbol">
    <w:charset w:val="02"/>
    <w:family w:val="auto"/>
    <w:pitch w:val="default"/>
  </w:font>
  <w:font w:name="Courier New">
    <w:charset w:val="01"/>
    <w:family w:val="modern"/>
    <w:pitch w:val="fixed"/>
  </w:font>
  <w:font w:name="Wingdings">
    <w:charset w:val="02"/>
    <w:family w:val="auto"/>
    <w:pitch w:val="default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2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er3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Footer"/>
      <w:rPr/>
    </w:pPr>
    <w:r>
      <w:rPr/>
    </w:r>
  </w:p>
</w:ftr>
</file>

<file path=word/footnotes.xml><?xml version="1.0" encoding="utf-8"?>
<w:footnotes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footnote w:id="0" w:type="separator">
    <w:p>
      <w:r>
        <w:separator/>
      </w:r>
    </w:p>
  </w:footnote>
  <w:footnote w:id="1" w:type="continuationSeparator">
    <w:p>
      <w:r>
        <w:continuationSeparator/>
      </w:r>
    </w:p>
  </w:footnote>
  <w:footnote w:id="2">
    <w:p>
      <w:pPr>
        <w:pStyle w:val="FootnoteText"/>
        <w:jc w:val="both"/>
        <w:rPr/>
      </w:pPr>
      <w:r>
        <w:rPr>
          <w:rStyle w:val="Style15"/>
        </w:rPr>
        <w:footnoteRef/>
      </w:r>
      <w:r>
        <w:rPr/>
        <w:t xml:space="preserve"> </w:t>
      </w:r>
      <w:r>
        <w:rPr/>
        <w:t>Федеральный закон от 24 июля 1998 г. № 125-ФЗ «Об обязательном социальном страховании от несчастных случаев на производстве и профессиональных заболеваний».</w:t>
      </w:r>
    </w:p>
    <w:p>
      <w:pPr>
        <w:pStyle w:val="FootnoteText"/>
        <w:jc w:val="both"/>
        <w:rPr/>
      </w:pPr>
      <w:r>
        <w:rPr/>
      </w:r>
    </w:p>
  </w:footnote>
  <w:footnote w:id="3">
    <w:p>
      <w:pPr>
        <w:pStyle w:val="FootnoteText"/>
        <w:rPr/>
      </w:pPr>
      <w:r>
        <w:rPr>
          <w:rStyle w:val="Style15"/>
        </w:rPr>
        <w:footnoteRef/>
      </w:r>
      <w:r>
        <w:rPr/>
        <w:t xml:space="preserve"> </w:t>
      </w:r>
      <w:r>
        <w:rPr/>
        <w:t>Федеральный закон от 01 апреля 1996 г. № 27-ФЗ «Об индивидуальном (персонифицированном) учете в системе обязательного пенсионного страхования»</w:t>
      </w:r>
    </w:p>
  </w:footnote>
</w:footnote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bullet"/>
      <w:suff w:val="space"/>
      <w:lvlText w:val=""/>
      <w:lvlJc w:val="start"/>
      <w:pPr>
        <w:tabs>
          <w:tab w:val="num" w:pos="0"/>
        </w:tabs>
        <w:ind w:start="710" w:hanging="0"/>
      </w:pPr>
      <w:rPr>
        <w:rFonts w:ascii="Symbol" w:hAnsi="Symbol" w:cs="Symbol" w:hint="default"/>
        <w:color w:themeColor="text1" w:val="000000"/>
      </w:rPr>
    </w:lvl>
    <w:lvl w:ilvl="1">
      <w:start w:val="1"/>
      <w:numFmt w:val="bullet"/>
      <w:suff w:val="space"/>
      <w:lvlText w:val=""/>
      <w:lvlJc w:val="start"/>
      <w:pPr>
        <w:tabs>
          <w:tab w:val="num" w:pos="0"/>
        </w:tabs>
        <w:ind w:start="1134" w:hanging="0"/>
      </w:pPr>
      <w:rPr>
        <w:rFonts w:ascii="Symbol" w:hAnsi="Symbol" w:cs="Symbol" w:hint="default"/>
        <w:color w:themeColor="text1" w:val="000000"/>
      </w:rPr>
    </w:lvl>
    <w:lvl w:ilvl="2">
      <w:start w:val="1"/>
      <w:numFmt w:val="bullet"/>
      <w:suff w:val="space"/>
      <w:lvlText w:val=""/>
      <w:lvlJc w:val="start"/>
      <w:pPr>
        <w:tabs>
          <w:tab w:val="num" w:pos="0"/>
        </w:tabs>
        <w:ind w:start="1559" w:hanging="0"/>
      </w:pPr>
      <w:rPr>
        <w:rFonts w:ascii="Symbol" w:hAnsi="Symbol" w:cs="Symbol" w:hint="default"/>
        <w:color w:themeColor="text1" w:val="000000"/>
      </w:r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1984" w:hanging="0"/>
      </w:pPr>
      <w:rPr/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2409" w:hanging="0"/>
      </w:pPr>
      <w:rPr/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2834" w:hanging="0"/>
      </w:pPr>
      <w:rPr/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3259" w:hanging="0"/>
      </w:pPr>
      <w:rPr/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3684" w:hanging="0"/>
      </w:pPr>
      <w:rPr/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4109" w:hanging="0"/>
      </w:pPr>
      <w:rPr/>
    </w:lvl>
  </w:abstractNum>
  <w:abstractNum w:abstractNumId="2">
    <w:lvl w:ilvl="0">
      <w:start w:val="1"/>
      <w:numFmt w:val="bullet"/>
      <w:lvlText w:val=""/>
      <w:lvlJc w:val="start"/>
      <w:pPr>
        <w:tabs>
          <w:tab w:val="num" w:pos="720"/>
        </w:tabs>
        <w:ind w:start="720" w:hanging="360"/>
      </w:pPr>
      <w:rPr>
        <w:rFonts w:ascii="Symbol" w:hAnsi="Symbol" w:cs="Symbol" w:hint="default"/>
        <w:sz w:val="20"/>
      </w:rPr>
    </w:lvl>
    <w:lvl w:ilvl="1">
      <w:start w:val="1"/>
      <w:numFmt w:val="bullet"/>
      <w:lvlText w:val="o"/>
      <w:lvlJc w:val="start"/>
      <w:pPr>
        <w:tabs>
          <w:tab w:val="num" w:pos="1440"/>
        </w:tabs>
        <w:ind w:start="1440" w:hanging="360"/>
      </w:pPr>
      <w:rPr>
        <w:rFonts w:ascii="Courier New" w:hAnsi="Courier New" w:cs="Courier New" w:hint="default"/>
        <w:sz w:val="20"/>
      </w:rPr>
    </w:lvl>
    <w:lvl w:ilvl="2">
      <w:start w:val="1"/>
      <w:numFmt w:val="bullet"/>
      <w:lvlText w:val=""/>
      <w:lvlJc w:val="start"/>
      <w:pPr>
        <w:tabs>
          <w:tab w:val="num" w:pos="2160"/>
        </w:tabs>
        <w:ind w:start="2160" w:hanging="360"/>
      </w:pPr>
      <w:rPr>
        <w:rFonts w:ascii="Wingdings" w:hAnsi="Wingdings" w:cs="Wingdings" w:hint="default"/>
        <w:sz w:val="20"/>
      </w:rPr>
    </w:lvl>
    <w:lvl w:ilvl="3">
      <w:start w:val="1"/>
      <w:numFmt w:val="bullet"/>
      <w:lvlText w:val=""/>
      <w:lvlJc w:val="start"/>
      <w:pPr>
        <w:tabs>
          <w:tab w:val="num" w:pos="2880"/>
        </w:tabs>
        <w:ind w:start="2880" w:hanging="360"/>
      </w:pPr>
      <w:rPr>
        <w:rFonts w:ascii="Wingdings" w:hAnsi="Wingdings" w:cs="Wingdings" w:hint="default"/>
        <w:sz w:val="20"/>
      </w:rPr>
    </w:lvl>
    <w:lvl w:ilvl="4">
      <w:start w:val="1"/>
      <w:numFmt w:val="bullet"/>
      <w:lvlText w:val=""/>
      <w:lvlJc w:val="start"/>
      <w:pPr>
        <w:tabs>
          <w:tab w:val="num" w:pos="3600"/>
        </w:tabs>
        <w:ind w:start="3600" w:hanging="360"/>
      </w:pPr>
      <w:rPr>
        <w:rFonts w:ascii="Wingdings" w:hAnsi="Wingdings" w:cs="Wingdings" w:hint="default"/>
        <w:sz w:val="20"/>
      </w:rPr>
    </w:lvl>
    <w:lvl w:ilvl="5">
      <w:start w:val="1"/>
      <w:numFmt w:val="bullet"/>
      <w:lvlText w:val=""/>
      <w:lvlJc w:val="start"/>
      <w:pPr>
        <w:tabs>
          <w:tab w:val="num" w:pos="4320"/>
        </w:tabs>
        <w:ind w:start="4320" w:hanging="360"/>
      </w:pPr>
      <w:rPr>
        <w:rFonts w:ascii="Wingdings" w:hAnsi="Wingdings" w:cs="Wingdings" w:hint="default"/>
        <w:sz w:val="20"/>
      </w:rPr>
    </w:lvl>
    <w:lvl w:ilvl="6">
      <w:start w:val="1"/>
      <w:numFmt w:val="bullet"/>
      <w:lvlText w:val=""/>
      <w:lvlJc w:val="start"/>
      <w:pPr>
        <w:tabs>
          <w:tab w:val="num" w:pos="5040"/>
        </w:tabs>
        <w:ind w:start="5040" w:hanging="360"/>
      </w:pPr>
      <w:rPr>
        <w:rFonts w:ascii="Wingdings" w:hAnsi="Wingdings" w:cs="Wingdings" w:hint="default"/>
        <w:sz w:val="20"/>
      </w:rPr>
    </w:lvl>
    <w:lvl w:ilvl="7">
      <w:start w:val="1"/>
      <w:numFmt w:val="bullet"/>
      <w:lvlText w:val=""/>
      <w:lvlJc w:val="start"/>
      <w:pPr>
        <w:tabs>
          <w:tab w:val="num" w:pos="5760"/>
        </w:tabs>
        <w:ind w:start="5760" w:hanging="360"/>
      </w:pPr>
      <w:rPr>
        <w:rFonts w:ascii="Wingdings" w:hAnsi="Wingdings" w:cs="Wingdings" w:hint="default"/>
        <w:sz w:val="20"/>
      </w:rPr>
    </w:lvl>
    <w:lvl w:ilvl="8">
      <w:start w:val="1"/>
      <w:numFmt w:val="bullet"/>
      <w:lvlText w:val=""/>
      <w:lvlJc w:val="start"/>
      <w:pPr>
        <w:tabs>
          <w:tab w:val="num" w:pos="6480"/>
        </w:tabs>
        <w:ind w:start="6480" w:hanging="360"/>
      </w:pPr>
      <w:rPr>
        <w:rFonts w:ascii="Wingdings" w:hAnsi="Wingdings" w:cs="Wingdings" w:hint="default"/>
        <w:sz w:val="20"/>
      </w:rPr>
    </w:lvl>
  </w:abstractNum>
  <w:abstractNum w:abstractNumId="3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hyphenationZone w:val="0"/>
  <w:footnotePr>
    <w:numFmt w:val="decimal"/>
    <w:footnote w:id="0"/>
    <w:footnote w:id="1"/>
  </w:foot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1" w:defUnhideWhenUsed="1" w:defQFormat="0" w:count="267">
    <w:lsdException w:name="Normal" w:uiPriority="0" w:semiHidden="0" w:unhideWhenUsed="0" w:qFormat="1"/>
    <w:lsdException w:name="heading 1" w:uiPriority="9" w:semiHidden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semiHidden="0" w:unhideWhenUsed="0" w:qFormat="1"/>
    <w:lsdException w:name="Default Paragraph Font" w:uiPriority="1"/>
    <w:lsdException w:name="Subtitle" w:uiPriority="11" w:semiHidden="0" w:unhideWhenUsed="0" w:qFormat="1"/>
    <w:lsdException w:name="Strong" w:uiPriority="22" w:semiHidden="0" w:unhideWhenUsed="0" w:qFormat="1"/>
    <w:lsdException w:name="Emphasis" w:uiPriority="20" w:semiHidden="0" w:unhideWhenUsed="0" w:qFormat="1"/>
    <w:lsdException w:name="Table Grid" w:uiPriority="59" w:semiHidden="0" w:unhideWhenUsed="0"/>
    <w:lsdException w:name="Placeholder Text" w:unhideWhenUsed="0"/>
    <w:lsdException w:name="No Spacing" w:uiPriority="1" w:semiHidden="0" w:unhideWhenUsed="0" w:qFormat="1"/>
    <w:lsdException w:name="Light Shading" w:uiPriority="60" w:semiHidden="0" w:unhideWhenUsed="0"/>
    <w:lsdException w:name="Light List" w:uiPriority="61" w:semiHidden="0" w:unhideWhenUsed="0"/>
    <w:lsdException w:name="Light Grid" w:uiPriority="62" w:semiHidden="0" w:unhideWhenUsed="0"/>
    <w:lsdException w:name="Medium Shading 1" w:uiPriority="63" w:semiHidden="0" w:unhideWhenUsed="0"/>
    <w:lsdException w:name="Medium Shading 2" w:uiPriority="64" w:semiHidden="0" w:unhideWhenUsed="0"/>
    <w:lsdException w:name="Medium List 1" w:uiPriority="65" w:semiHidden="0" w:unhideWhenUsed="0"/>
    <w:lsdException w:name="Medium List 2" w:uiPriority="66" w:semiHidden="0" w:unhideWhenUsed="0"/>
    <w:lsdException w:name="Medium Grid 1" w:uiPriority="67" w:semiHidden="0" w:unhideWhenUsed="0"/>
    <w:lsdException w:name="Medium Grid 2" w:uiPriority="68" w:semiHidden="0" w:unhideWhenUsed="0"/>
    <w:lsdException w:name="Medium Grid 3" w:uiPriority="69" w:semiHidden="0" w:unhideWhenUsed="0"/>
    <w:lsdException w:name="Dark List" w:uiPriority="70" w:semiHidden="0" w:unhideWhenUsed="0"/>
    <w:lsdException w:name="Colorful Shading" w:uiPriority="71" w:semiHidden="0" w:unhideWhenUsed="0"/>
    <w:lsdException w:name="Colorful List" w:uiPriority="72" w:semiHidden="0" w:unhideWhenUsed="0"/>
    <w:lsdException w:name="Colorful Grid" w:uiPriority="73" w:semiHidden="0" w:unhideWhenUsed="0"/>
    <w:lsdException w:name="Light Shading Accent 1" w:uiPriority="60" w:semiHidden="0" w:unhideWhenUsed="0"/>
    <w:lsdException w:name="Light List Accent 1" w:uiPriority="61" w:semiHidden="0" w:unhideWhenUsed="0"/>
    <w:lsdException w:name="Light Grid Accent 1" w:uiPriority="62" w:semiHidden="0" w:unhideWhenUsed="0"/>
    <w:lsdException w:name="Medium Shading 1 Accent 1" w:uiPriority="63" w:semiHidden="0" w:unhideWhenUsed="0"/>
    <w:lsdException w:name="Medium Shading 2 Accent 1" w:uiPriority="64" w:semiHidden="0" w:unhideWhenUsed="0"/>
    <w:lsdException w:name="Medium List 1 Accent 1" w:uiPriority="65" w:semiHidden="0" w:unhideWhenUsed="0"/>
    <w:lsdException w:name="Revision" w:unhideWhenUsed="0"/>
    <w:lsdException w:name="List Paragraph" w:uiPriority="34" w:semiHidden="0" w:unhideWhenUsed="0" w:qFormat="1"/>
    <w:lsdException w:name="Quote" w:uiPriority="29" w:semiHidden="0" w:unhideWhenUsed="0" w:qFormat="1"/>
    <w:lsdException w:name="Intense Quote" w:uiPriority="30" w:semiHidden="0" w:unhideWhenUsed="0" w:qFormat="1"/>
    <w:lsdException w:name="Medium List 2 Accent 1" w:uiPriority="66" w:semiHidden="0" w:unhideWhenUsed="0"/>
    <w:lsdException w:name="Medium Grid 1 Accent 1" w:uiPriority="67" w:semiHidden="0" w:unhideWhenUsed="0"/>
    <w:lsdException w:name="Medium Grid 2 Accent 1" w:uiPriority="68" w:semiHidden="0" w:unhideWhenUsed="0"/>
    <w:lsdException w:name="Medium Grid 3 Accent 1" w:uiPriority="69" w:semiHidden="0" w:unhideWhenUsed="0"/>
    <w:lsdException w:name="Dark List Accent 1" w:uiPriority="70" w:semiHidden="0" w:unhideWhenUsed="0"/>
    <w:lsdException w:name="Colorful Shading Accent 1" w:uiPriority="71" w:semiHidden="0" w:unhideWhenUsed="0"/>
    <w:lsdException w:name="Colorful List Accent 1" w:uiPriority="72" w:semiHidden="0" w:unhideWhenUsed="0"/>
    <w:lsdException w:name="Colorful Grid Accent 1" w:uiPriority="73" w:semiHidden="0" w:unhideWhenUsed="0"/>
    <w:lsdException w:name="Light Shading Accent 2" w:uiPriority="60" w:semiHidden="0" w:unhideWhenUsed="0"/>
    <w:lsdException w:name="Light List Accent 2" w:uiPriority="61" w:semiHidden="0" w:unhideWhenUsed="0"/>
    <w:lsdException w:name="Light Grid Accent 2" w:uiPriority="62" w:semiHidden="0" w:unhideWhenUsed="0"/>
    <w:lsdException w:name="Medium Shading 1 Accent 2" w:uiPriority="63" w:semiHidden="0" w:unhideWhenUsed="0"/>
    <w:lsdException w:name="Medium Shading 2 Accent 2" w:uiPriority="64" w:semiHidden="0" w:unhideWhenUsed="0"/>
    <w:lsdException w:name="Medium List 1 Accent 2" w:uiPriority="65" w:semiHidden="0" w:unhideWhenUsed="0"/>
    <w:lsdException w:name="Medium List 2 Accent 2" w:uiPriority="66" w:semiHidden="0" w:unhideWhenUsed="0"/>
    <w:lsdException w:name="Medium Grid 1 Accent 2" w:uiPriority="67" w:semiHidden="0" w:unhideWhenUsed="0"/>
    <w:lsdException w:name="Medium Grid 2 Accent 2" w:uiPriority="68" w:semiHidden="0" w:unhideWhenUsed="0"/>
    <w:lsdException w:name="Medium Grid 3 Accent 2" w:uiPriority="69" w:semiHidden="0" w:unhideWhenUsed="0"/>
    <w:lsdException w:name="Dark List Accent 2" w:uiPriority="70" w:semiHidden="0" w:unhideWhenUsed="0"/>
    <w:lsdException w:name="Colorful Shading Accent 2" w:uiPriority="71" w:semiHidden="0" w:unhideWhenUsed="0"/>
    <w:lsdException w:name="Colorful List Accent 2" w:uiPriority="72" w:semiHidden="0" w:unhideWhenUsed="0"/>
    <w:lsdException w:name="Colorful Grid Accent 2" w:uiPriority="73" w:semiHidden="0" w:unhideWhenUsed="0"/>
    <w:lsdException w:name="Light Shading Accent 3" w:uiPriority="60" w:semiHidden="0" w:unhideWhenUsed="0"/>
    <w:lsdException w:name="Light List Accent 3" w:uiPriority="61" w:semiHidden="0" w:unhideWhenUsed="0"/>
    <w:lsdException w:name="Light Grid Accent 3" w:uiPriority="62" w:semiHidden="0" w:unhideWhenUsed="0"/>
    <w:lsdException w:name="Medium Shading 1 Accent 3" w:uiPriority="63" w:semiHidden="0" w:unhideWhenUsed="0"/>
    <w:lsdException w:name="Medium Shading 2 Accent 3" w:uiPriority="64" w:semiHidden="0" w:unhideWhenUsed="0"/>
    <w:lsdException w:name="Medium List 1 Accent 3" w:uiPriority="65" w:semiHidden="0" w:unhideWhenUsed="0"/>
    <w:lsdException w:name="Medium List 2 Accent 3" w:uiPriority="66" w:semiHidden="0" w:unhideWhenUsed="0"/>
    <w:lsdException w:name="Medium Grid 1 Accent 3" w:uiPriority="67" w:semiHidden="0" w:unhideWhenUsed="0"/>
    <w:lsdException w:name="Medium Grid 2 Accent 3" w:uiPriority="68" w:semiHidden="0" w:unhideWhenUsed="0"/>
    <w:lsdException w:name="Medium Grid 3 Accent 3" w:uiPriority="69" w:semiHidden="0" w:unhideWhenUsed="0"/>
    <w:lsdException w:name="Dark List Accent 3" w:uiPriority="70" w:semiHidden="0" w:unhideWhenUsed="0"/>
    <w:lsdException w:name="Colorful Shading Accent 3" w:uiPriority="71" w:semiHidden="0" w:unhideWhenUsed="0"/>
    <w:lsdException w:name="Colorful List Accent 3" w:uiPriority="72" w:semiHidden="0" w:unhideWhenUsed="0"/>
    <w:lsdException w:name="Colorful Grid Accent 3" w:uiPriority="73" w:semiHidden="0" w:unhideWhenUsed="0"/>
    <w:lsdException w:name="Light Shading Accent 4" w:uiPriority="60" w:semiHidden="0" w:unhideWhenUsed="0"/>
    <w:lsdException w:name="Light List Accent 4" w:uiPriority="61" w:semiHidden="0" w:unhideWhenUsed="0"/>
    <w:lsdException w:name="Light Grid Accent 4" w:uiPriority="62" w:semiHidden="0" w:unhideWhenUsed="0"/>
    <w:lsdException w:name="Medium Shading 1 Accent 4" w:uiPriority="63" w:semiHidden="0" w:unhideWhenUsed="0"/>
    <w:lsdException w:name="Medium Shading 2 Accent 4" w:uiPriority="64" w:semiHidden="0" w:unhideWhenUsed="0"/>
    <w:lsdException w:name="Medium List 1 Accent 4" w:uiPriority="65" w:semiHidden="0" w:unhideWhenUsed="0"/>
    <w:lsdException w:name="Medium List 2 Accent 4" w:uiPriority="66" w:semiHidden="0" w:unhideWhenUsed="0"/>
    <w:lsdException w:name="Medium Grid 1 Accent 4" w:uiPriority="67" w:semiHidden="0" w:unhideWhenUsed="0"/>
    <w:lsdException w:name="Medium Grid 2 Accent 4" w:uiPriority="68" w:semiHidden="0" w:unhideWhenUsed="0"/>
    <w:lsdException w:name="Medium Grid 3 Accent 4" w:uiPriority="69" w:semiHidden="0" w:unhideWhenUsed="0"/>
    <w:lsdException w:name="Dark List Accent 4" w:uiPriority="70" w:semiHidden="0" w:unhideWhenUsed="0"/>
    <w:lsdException w:name="Colorful Shading Accent 4" w:uiPriority="71" w:semiHidden="0" w:unhideWhenUsed="0"/>
    <w:lsdException w:name="Colorful List Accent 4" w:uiPriority="72" w:semiHidden="0" w:unhideWhenUsed="0"/>
    <w:lsdException w:name="Colorful Grid Accent 4" w:uiPriority="73" w:semiHidden="0" w:unhideWhenUsed="0"/>
    <w:lsdException w:name="Light Shading Accent 5" w:uiPriority="60" w:semiHidden="0" w:unhideWhenUsed="0"/>
    <w:lsdException w:name="Light List Accent 5" w:uiPriority="61" w:semiHidden="0" w:unhideWhenUsed="0"/>
    <w:lsdException w:name="Light Grid Accent 5" w:uiPriority="62" w:semiHidden="0" w:unhideWhenUsed="0"/>
    <w:lsdException w:name="Medium Shading 1 Accent 5" w:uiPriority="63" w:semiHidden="0" w:unhideWhenUsed="0"/>
    <w:lsdException w:name="Medium Shading 2 Accent 5" w:uiPriority="64" w:semiHidden="0" w:unhideWhenUsed="0"/>
    <w:lsdException w:name="Medium List 1 Accent 5" w:uiPriority="65" w:semiHidden="0" w:unhideWhenUsed="0"/>
    <w:lsdException w:name="Medium List 2 Accent 5" w:uiPriority="66" w:semiHidden="0" w:unhideWhenUsed="0"/>
    <w:lsdException w:name="Medium Grid 1 Accent 5" w:uiPriority="67" w:semiHidden="0" w:unhideWhenUsed="0"/>
    <w:lsdException w:name="Medium Grid 2 Accent 5" w:uiPriority="68" w:semiHidden="0" w:unhideWhenUsed="0"/>
    <w:lsdException w:name="Medium Grid 3 Accent 5" w:uiPriority="69" w:semiHidden="0" w:unhideWhenUsed="0"/>
    <w:lsdException w:name="Dark List Accent 5" w:uiPriority="70" w:semiHidden="0" w:unhideWhenUsed="0"/>
    <w:lsdException w:name="Colorful Shading Accent 5" w:uiPriority="71" w:semiHidden="0" w:unhideWhenUsed="0"/>
    <w:lsdException w:name="Colorful List Accent 5" w:uiPriority="72" w:semiHidden="0" w:unhideWhenUsed="0"/>
    <w:lsdException w:name="Colorful Grid Accent 5" w:uiPriority="73" w:semiHidden="0" w:unhideWhenUsed="0"/>
    <w:lsdException w:name="Light Shading Accent 6" w:uiPriority="60" w:semiHidden="0" w:unhideWhenUsed="0"/>
    <w:lsdException w:name="Light List Accent 6" w:uiPriority="61" w:semiHidden="0" w:unhideWhenUsed="0"/>
    <w:lsdException w:name="Light Grid Accent 6" w:uiPriority="62" w:semiHidden="0" w:unhideWhenUsed="0"/>
    <w:lsdException w:name="Medium Shading 1 Accent 6" w:uiPriority="63" w:semiHidden="0" w:unhideWhenUsed="0"/>
    <w:lsdException w:name="Medium Shading 2 Accent 6" w:uiPriority="64" w:semiHidden="0" w:unhideWhenUsed="0"/>
    <w:lsdException w:name="Medium List 1 Accent 6" w:uiPriority="65" w:semiHidden="0" w:unhideWhenUsed="0"/>
    <w:lsdException w:name="Medium List 2 Accent 6" w:uiPriority="66" w:semiHidden="0" w:unhideWhenUsed="0"/>
    <w:lsdException w:name="Medium Grid 1 Accent 6" w:uiPriority="67" w:semiHidden="0" w:unhideWhenUsed="0"/>
    <w:lsdException w:name="Medium Grid 2 Accent 6" w:uiPriority="68" w:semiHidden="0" w:unhideWhenUsed="0"/>
    <w:lsdException w:name="Medium Grid 3 Accent 6" w:uiPriority="69" w:semiHidden="0" w:unhideWhenUsed="0"/>
    <w:lsdException w:name="Dark List Accent 6" w:uiPriority="70" w:semiHidden="0" w:unhideWhenUsed="0"/>
    <w:lsdException w:name="Colorful Shading Accent 6" w:uiPriority="71" w:semiHidden="0" w:unhideWhenUsed="0"/>
    <w:lsdException w:name="Colorful List Accent 6" w:uiPriority="72" w:semiHidden="0" w:unhideWhenUsed="0"/>
    <w:lsdException w:name="Colorful Grid Accent 6" w:uiPriority="73" w:semiHidden="0" w:unhideWhenUsed="0"/>
    <w:lsdException w:name="Subtle Emphasis" w:uiPriority="19" w:semiHidden="0" w:unhideWhenUsed="0" w:qFormat="1"/>
    <w:lsdException w:name="Intense Emphasis" w:uiPriority="21" w:semiHidden="0" w:unhideWhenUsed="0" w:qFormat="1"/>
    <w:lsdException w:name="Subtle Reference" w:uiPriority="31" w:semiHidden="0" w:unhideWhenUsed="0" w:qFormat="1"/>
    <w:lsdException w:name="Intense Reference" w:uiPriority="32" w:semiHidden="0" w:unhideWhenUsed="0" w:qFormat="1"/>
    <w:lsdException w:name="Book Title" w:uiPriority="33" w:semiHidden="0" w:unhideWhenUsed="0" w:qFormat="1"/>
    <w:lsdException w:name="Bibliography" w:uiPriority="37"/>
    <w:lsdException w:name="TOC Heading" w:uiPriority="39" w:qFormat="1"/>
  </w:latentStyles>
  <w:style w:type="paragraph" w:styleId="Normal" w:default="1">
    <w:name w:val="Normal"/>
    <w:qFormat/>
    <w:pPr>
      <w:widowControl/>
      <w:bidi w:val="0"/>
      <w:spacing w:lineRule="auto" w:line="276" w:before="0" w:after="200"/>
      <w:jc w:val="star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Style14" w:customStyle="1">
    <w:name w:val="Текст сноски Знак"/>
    <w:basedOn w:val="DefaultParagraphFont"/>
    <w:uiPriority w:val="99"/>
    <w:semiHidden/>
    <w:qFormat/>
    <w:rsid w:val="00984ab5"/>
    <w:rPr>
      <w:rFonts w:ascii="Times New Roman" w:hAnsi="Times New Roman" w:eastAsia="Times New Roman" w:cs="Times New Roman"/>
      <w:sz w:val="20"/>
      <w:szCs w:val="20"/>
    </w:rPr>
  </w:style>
  <w:style w:type="character" w:styleId="Style15">
    <w:name w:val="Символ сноски"/>
    <w:basedOn w:val="DefaultParagraphFont"/>
    <w:uiPriority w:val="99"/>
    <w:semiHidden/>
    <w:unhideWhenUsed/>
    <w:qFormat/>
    <w:rsid w:val="00984ab5"/>
    <w:rPr>
      <w:vertAlign w:val="superscript"/>
    </w:rPr>
  </w:style>
  <w:style w:type="character" w:styleId="FootnoteReference">
    <w:name w:val="footnote reference"/>
    <w:rPr>
      <w:vertAlign w:val="superscript"/>
    </w:rPr>
  </w:style>
  <w:style w:type="character" w:styleId="01" w:customStyle="1">
    <w:name w:val="0 Список без нумер 1 ур Знак"/>
    <w:basedOn w:val="DefaultParagraphFont"/>
    <w:link w:val="011"/>
    <w:qFormat/>
    <w:rsid w:val="003a6268"/>
    <w:rPr>
      <w:rFonts w:ascii="Times New Roman" w:hAnsi="Times New Roman" w:eastAsia="Times New Roman" w:cs="Times New Roman"/>
      <w:color w:themeColor="text1" w:val="000000"/>
      <w:sz w:val="24"/>
      <w:szCs w:val="24"/>
      <w:lang w:eastAsia="ru-RU"/>
    </w:rPr>
  </w:style>
  <w:style w:type="character" w:styleId="Style16" w:customStyle="1">
    <w:name w:val="Текст выноски Знак"/>
    <w:basedOn w:val="DefaultParagraphFont"/>
    <w:link w:val="BalloonText"/>
    <w:uiPriority w:val="99"/>
    <w:semiHidden/>
    <w:qFormat/>
    <w:rsid w:val="00f92d80"/>
    <w:rPr>
      <w:rFonts w:ascii="Tahoma" w:hAnsi="Tahoma" w:cs="Tahoma"/>
      <w:sz w:val="16"/>
      <w:szCs w:val="16"/>
    </w:rPr>
  </w:style>
  <w:style w:type="character" w:styleId="Style17" w:customStyle="1">
    <w:name w:val="Верхний колонтитул Знак"/>
    <w:basedOn w:val="DefaultParagraphFont"/>
    <w:uiPriority w:val="99"/>
    <w:qFormat/>
    <w:rsid w:val="00761ce6"/>
    <w:rPr/>
  </w:style>
  <w:style w:type="character" w:styleId="Style18" w:customStyle="1">
    <w:name w:val="Нижний колонтитул Знак"/>
    <w:basedOn w:val="DefaultParagraphFont"/>
    <w:uiPriority w:val="99"/>
    <w:qFormat/>
    <w:rsid w:val="00761ce6"/>
    <w:rPr/>
  </w:style>
  <w:style w:type="character" w:styleId="Hyperlink">
    <w:name w:val="Hyperlink"/>
    <w:rPr>
      <w:color w:val="000080"/>
      <w:u w:val="single"/>
    </w:rPr>
  </w:style>
  <w:style w:type="character" w:styleId="EndnoteReference">
    <w:name w:val="endnote reference"/>
    <w:rPr>
      <w:vertAlign w:val="superscript"/>
    </w:rPr>
  </w:style>
  <w:style w:type="character" w:styleId="Style19">
    <w:name w:val="Символ концевой сноски"/>
    <w:qFormat/>
    <w:rPr/>
  </w:style>
  <w:style w:type="paragraph" w:styleId="Style20">
    <w:name w:val="Заголовок"/>
    <w:basedOn w:val="Normal"/>
    <w:next w:val="BodyText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ascii="PT Astra Serif" w:hAnsi="PT Astra Serif" w:cs="Noto Sans Devanagari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21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FootnoteText">
    <w:name w:val="footnote text"/>
    <w:basedOn w:val="Normal"/>
    <w:link w:val="Style14"/>
    <w:uiPriority w:val="99"/>
    <w:semiHidden/>
    <w:unhideWhenUsed/>
    <w:rsid w:val="00984ab5"/>
    <w:pPr>
      <w:spacing w:lineRule="auto" w:line="240" w:before="0" w:after="0"/>
    </w:pPr>
    <w:rPr>
      <w:rFonts w:ascii="Times New Roman" w:hAnsi="Times New Roman" w:eastAsia="Times New Roman" w:cs="Times New Roman"/>
      <w:sz w:val="20"/>
      <w:szCs w:val="20"/>
    </w:rPr>
  </w:style>
  <w:style w:type="paragraph" w:styleId="011" w:customStyle="1">
    <w:name w:val="0 Список без нумер 1 ур"/>
    <w:link w:val="01"/>
    <w:qFormat/>
    <w:rsid w:val="003a6268"/>
    <w:pPr>
      <w:widowControl/>
      <w:numPr>
        <w:ilvl w:val="0"/>
        <w:numId w:val="1"/>
      </w:numPr>
      <w:bidi w:val="0"/>
      <w:spacing w:lineRule="auto" w:line="360" w:before="0" w:after="0"/>
      <w:jc w:val="both"/>
    </w:pPr>
    <w:rPr>
      <w:rFonts w:ascii="Times New Roman" w:hAnsi="Times New Roman" w:eastAsia="Times New Roman" w:cs="Times New Roman"/>
      <w:color w:themeColor="text1" w:val="000000"/>
      <w:kern w:val="0"/>
      <w:sz w:val="24"/>
      <w:szCs w:val="24"/>
      <w:lang w:eastAsia="ru-RU" w:val="ru-RU" w:bidi="ar-SA"/>
    </w:rPr>
  </w:style>
  <w:style w:type="paragraph" w:styleId="02" w:customStyle="1">
    <w:name w:val="0 Список без нумер 2 ур"/>
    <w:qFormat/>
    <w:rsid w:val="003a6268"/>
    <w:pPr>
      <w:widowControl/>
      <w:numPr>
        <w:ilvl w:val="1"/>
        <w:numId w:val="1"/>
      </w:numPr>
      <w:bidi w:val="0"/>
      <w:spacing w:lineRule="auto" w:line="360" w:before="0" w:after="0"/>
      <w:jc w:val="both"/>
    </w:pPr>
    <w:rPr>
      <w:rFonts w:ascii="Times New Roman" w:hAnsi="Times New Roman" w:eastAsia="Times New Roman" w:cs="Times New Roman"/>
      <w:color w:themeColor="text1" w:val="000000"/>
      <w:kern w:val="0"/>
      <w:sz w:val="24"/>
      <w:szCs w:val="24"/>
      <w:lang w:eastAsia="ru-RU" w:val="ru-RU" w:bidi="ar-SA"/>
    </w:rPr>
  </w:style>
  <w:style w:type="paragraph" w:styleId="03" w:customStyle="1">
    <w:name w:val="0 Список без нумер 3 ур"/>
    <w:qFormat/>
    <w:rsid w:val="003a6268"/>
    <w:pPr>
      <w:widowControl/>
      <w:numPr>
        <w:ilvl w:val="2"/>
        <w:numId w:val="1"/>
      </w:numPr>
      <w:bidi w:val="0"/>
      <w:spacing w:lineRule="auto" w:line="360" w:before="0" w:after="0"/>
      <w:jc w:val="both"/>
    </w:pPr>
    <w:rPr>
      <w:rFonts w:ascii="Times New Roman" w:hAnsi="Times New Roman" w:eastAsia="Times New Roman" w:cs="Times New Roman"/>
      <w:color w:themeColor="text1" w:val="000000"/>
      <w:kern w:val="0"/>
      <w:sz w:val="24"/>
      <w:szCs w:val="24"/>
      <w:lang w:eastAsia="ru-RU" w:val="ru-RU" w:bidi="ar-SA"/>
    </w:rPr>
  </w:style>
  <w:style w:type="paragraph" w:styleId="NormalWeb">
    <w:name w:val="Normal (Web)"/>
    <w:basedOn w:val="Normal"/>
    <w:uiPriority w:val="99"/>
    <w:unhideWhenUsed/>
    <w:qFormat/>
    <w:rsid w:val="00a2348e"/>
    <w:pPr>
      <w:spacing w:lineRule="auto" w:line="240" w:beforeAutospacing="1" w:after="119"/>
    </w:pPr>
    <w:rPr>
      <w:rFonts w:ascii="Times New Roman" w:hAnsi="Times New Roman" w:eastAsia="Times New Roman" w:cs="Times New Roman"/>
      <w:sz w:val="24"/>
      <w:szCs w:val="24"/>
      <w:lang w:eastAsia="ru-RU"/>
    </w:rPr>
  </w:style>
  <w:style w:type="paragraph" w:styleId="BalloonText">
    <w:name w:val="Balloon Text"/>
    <w:basedOn w:val="Normal"/>
    <w:link w:val="Style16"/>
    <w:uiPriority w:val="99"/>
    <w:semiHidden/>
    <w:unhideWhenUsed/>
    <w:qFormat/>
    <w:rsid w:val="00f92d80"/>
    <w:pPr>
      <w:spacing w:lineRule="auto" w:line="240" w:before="0" w:after="0"/>
    </w:pPr>
    <w:rPr>
      <w:rFonts w:ascii="Tahoma" w:hAnsi="Tahoma" w:cs="Tahoma"/>
      <w:sz w:val="16"/>
      <w:szCs w:val="16"/>
    </w:rPr>
  </w:style>
  <w:style w:type="paragraph" w:styleId="Style22">
    <w:name w:val="Колонтитулы"/>
    <w:basedOn w:val="Normal"/>
    <w:qFormat/>
    <w:pPr/>
    <w:rPr/>
  </w:style>
  <w:style w:type="paragraph" w:styleId="Header">
    <w:name w:val="header"/>
    <w:basedOn w:val="Normal"/>
    <w:link w:val="Style17"/>
    <w:uiPriority w:val="99"/>
    <w:unhideWhenUsed/>
    <w:rsid w:val="00761ce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paragraph" w:styleId="Footer">
    <w:name w:val="footer"/>
    <w:basedOn w:val="Normal"/>
    <w:link w:val="Style18"/>
    <w:uiPriority w:val="99"/>
    <w:unhideWhenUsed/>
    <w:rsid w:val="00761ce6"/>
    <w:pPr>
      <w:tabs>
        <w:tab w:val="clear" w:pos="708"/>
        <w:tab w:val="center" w:pos="4677" w:leader="none"/>
        <w:tab w:val="right" w:pos="9355" w:leader="none"/>
      </w:tabs>
      <w:spacing w:lineRule="auto" w:line="240" w:before="0" w:after="0"/>
    </w:pPr>
    <w:rPr/>
  </w:style>
  <w:style w:type="numbering" w:styleId="Style23" w:default="1">
    <w:name w:val="Без списка"/>
    <w:uiPriority w:val="99"/>
    <w:semiHidden/>
    <w:unhideWhenUsed/>
    <w:qFormat/>
  </w:style>
  <w:style w:type="numbering" w:styleId="0" w:customStyle="1">
    <w:name w:val="0 Список ненумерованный"/>
    <w:uiPriority w:val="99"/>
    <w:qFormat/>
    <w:rsid w:val="003a6268"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https://login.consultant.ru/link/?req=doc&amp;base=LAW&amp;n=479947" TargetMode="External"/><Relationship Id="rId3" Type="http://schemas.openxmlformats.org/officeDocument/2006/relationships/header" Target="header1.xml"/><Relationship Id="rId4" Type="http://schemas.openxmlformats.org/officeDocument/2006/relationships/header" Target="header2.xml"/><Relationship Id="rId5" Type="http://schemas.openxmlformats.org/officeDocument/2006/relationships/header" Target="header3.xml"/><Relationship Id="rId6" Type="http://schemas.openxmlformats.org/officeDocument/2006/relationships/footer" Target="footer1.xml"/><Relationship Id="rId7" Type="http://schemas.openxmlformats.org/officeDocument/2006/relationships/footer" Target="footer2.xml"/><Relationship Id="rId8" Type="http://schemas.openxmlformats.org/officeDocument/2006/relationships/footer" Target="footer3.xml"/><Relationship Id="rId9" Type="http://schemas.openxmlformats.org/officeDocument/2006/relationships/footnotes" Target="footnotes.xml"/><Relationship Id="rId10" Type="http://schemas.openxmlformats.org/officeDocument/2006/relationships/numbering" Target="numbering.xml"/><Relationship Id="rId11" Type="http://schemas.openxmlformats.org/officeDocument/2006/relationships/fontTable" Target="fontTable.xml"/><Relationship Id="rId12" Type="http://schemas.openxmlformats.org/officeDocument/2006/relationships/settings" Target="settings.xml"/><Relationship Id="rId13" Type="http://schemas.openxmlformats.org/officeDocument/2006/relationships/theme" Target="theme/theme1.xml"/><Relationship Id="rId14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xmlns:r="http://schemas.openxmlformats.org/officeDocument/2006/relationships" name="Тема Office">
  <a:themeElements>
    <a:clrScheme name="Стандартная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 pitchFamily="0" charset="1"/>
        <a:ea typeface=""/>
        <a:cs typeface=""/>
      </a:majorFont>
      <a:minorFont>
        <a:latin typeface="Calibri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shade val="51000"/>
              </a:schemeClr>
            </a:gs>
            <a:gs pos="80000">
              <a:schemeClr val="phClr">
                <a:shade val="93000"/>
              </a:schemeClr>
            </a:gs>
            <a:gs pos="100000">
              <a:schemeClr val="phClr">
                <a:shade val="94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F77FBF6-FC15-4781-A70F-FEB74E9001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255</TotalTime>
  <Application>LibreOffice/25.8.4.2$Linux_X86_64 LibreOffice_project/580$Build-2</Application>
  <AppVersion>15.0000</AppVersion>
  <Pages>2</Pages>
  <Words>631</Words>
  <Characters>4206</Characters>
  <CharactersWithSpaces>4830</CharactersWithSpaces>
  <Paragraphs>37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2026-01-14T06:47:00Z</dcterms:created>
  <dc:creator>Малова Кристина Сергеевна</dc:creator>
  <dc:description/>
  <dc:language>ru-RU</dc:language>
  <cp:lastModifiedBy>Хомич Вера Андреевна</cp:lastModifiedBy>
  <cp:lastPrinted>2026-01-15T02:41:00Z</cp:lastPrinted>
  <dcterms:modified xsi:type="dcterms:W3CDTF">2026-02-16T00:33:00Z</dcterms:modified>
  <cp:revision>57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