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8C7" w:rsidRDefault="009E28C7">
      <w:pPr>
        <w:pStyle w:val="ConsPlusNormal"/>
        <w:jc w:val="both"/>
        <w:outlineLvl w:val="0"/>
      </w:pPr>
      <w:bookmarkStart w:id="0" w:name="_GoBack"/>
      <w:bookmarkEnd w:id="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9E28C7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9E28C7" w:rsidRDefault="001C496C">
            <w:pPr>
              <w:pStyle w:val="ConsPlusNormal"/>
            </w:pPr>
            <w:r>
              <w:t>31 октября 2025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9E28C7" w:rsidRDefault="001C496C">
            <w:pPr>
              <w:pStyle w:val="ConsPlusNormal"/>
              <w:jc w:val="right"/>
            </w:pPr>
            <w:r>
              <w:t>№ 794</w:t>
            </w:r>
          </w:p>
        </w:tc>
      </w:tr>
    </w:tbl>
    <w:p w:rsidR="009E28C7" w:rsidRDefault="009E28C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E28C7" w:rsidRDefault="009E28C7">
      <w:pPr>
        <w:pStyle w:val="ConsPlusNormal"/>
        <w:jc w:val="both"/>
      </w:pPr>
    </w:p>
    <w:p w:rsidR="009E28C7" w:rsidRDefault="001C496C">
      <w:pPr>
        <w:pStyle w:val="ConsPlusTitle"/>
        <w:jc w:val="center"/>
      </w:pPr>
      <w:r>
        <w:t>УКАЗ</w:t>
      </w:r>
    </w:p>
    <w:p w:rsidR="009E28C7" w:rsidRDefault="009E28C7">
      <w:pPr>
        <w:pStyle w:val="ConsPlusTitle"/>
        <w:jc w:val="center"/>
      </w:pPr>
    </w:p>
    <w:p w:rsidR="009E28C7" w:rsidRDefault="001C496C">
      <w:pPr>
        <w:pStyle w:val="ConsPlusTitle"/>
        <w:jc w:val="center"/>
      </w:pPr>
      <w:r>
        <w:t>ПРЕЗИДЕНТА РОССИЙСКОЙ ФЕДЕРАЦИИ</w:t>
      </w:r>
    </w:p>
    <w:p w:rsidR="009E28C7" w:rsidRDefault="009E28C7">
      <w:pPr>
        <w:pStyle w:val="ConsPlusTitle"/>
        <w:jc w:val="center"/>
      </w:pPr>
    </w:p>
    <w:p w:rsidR="009E28C7" w:rsidRDefault="001C496C">
      <w:pPr>
        <w:pStyle w:val="ConsPlusTitle"/>
        <w:jc w:val="center"/>
      </w:pPr>
      <w:r>
        <w:t>О ПРЕДОСТАВЛЕНИИ</w:t>
      </w:r>
    </w:p>
    <w:p w:rsidR="009E28C7" w:rsidRDefault="001C496C">
      <w:pPr>
        <w:pStyle w:val="ConsPlusTitle"/>
        <w:jc w:val="center"/>
      </w:pPr>
      <w:r>
        <w:t>ДОПОЛНИТЕЛЬНЫХ СОЦИАЛЬНЫХ ГАРАНТИЙ ЛИЦАМ, ВЫПОЛНЯЮЩИМ РАБОТЫ</w:t>
      </w:r>
    </w:p>
    <w:p w:rsidR="009E28C7" w:rsidRDefault="001C496C">
      <w:pPr>
        <w:pStyle w:val="ConsPlusTitle"/>
        <w:jc w:val="center"/>
      </w:pPr>
      <w:r>
        <w:t>НА ТЕРРИТОРИЯХ НЕКОТОРЫХ СУБЪЕКТОВ РОССИЙСКОЙ ФЕДЕРАЦИИ,</w:t>
      </w:r>
    </w:p>
    <w:p w:rsidR="009E28C7" w:rsidRDefault="001C496C">
      <w:pPr>
        <w:pStyle w:val="ConsPlusTitle"/>
        <w:jc w:val="center"/>
      </w:pPr>
      <w:r>
        <w:t>И ЧЛЕНАМ ИХ СЕМЕЙ</w:t>
      </w:r>
    </w:p>
    <w:p w:rsidR="009E28C7" w:rsidRDefault="009E28C7">
      <w:pPr>
        <w:pStyle w:val="ConsPlusNormal"/>
        <w:jc w:val="both"/>
      </w:pPr>
    </w:p>
    <w:p w:rsidR="001C496C" w:rsidRDefault="001C496C">
      <w:pPr>
        <w:pStyle w:val="ConsPlusNormal"/>
        <w:jc w:val="both"/>
      </w:pPr>
    </w:p>
    <w:p w:rsidR="009E28C7" w:rsidRDefault="001C496C">
      <w:pPr>
        <w:pStyle w:val="ConsPlusNormal"/>
        <w:ind w:firstLine="540"/>
        <w:jc w:val="both"/>
      </w:pPr>
      <w:r>
        <w:t>В целях повышения уровня социальной защищенности лиц, выполняющих работы на территориях некоторых субъектов Российской Федерации, и членов их семей постановляю:</w:t>
      </w:r>
    </w:p>
    <w:p w:rsidR="009E28C7" w:rsidRDefault="001C496C">
      <w:pPr>
        <w:pStyle w:val="ConsPlusNormal"/>
        <w:spacing w:before="240"/>
        <w:ind w:firstLine="540"/>
        <w:jc w:val="both"/>
      </w:pPr>
      <w:bookmarkStart w:id="1" w:name="P14"/>
      <w:bookmarkEnd w:id="1"/>
      <w:r>
        <w:t xml:space="preserve">1. </w:t>
      </w:r>
      <w:proofErr w:type="gramStart"/>
      <w:r>
        <w:t xml:space="preserve">Предоставить лицам, исполняющим должностные (служебные, трудовые) обязанности, выполняющим работы (оказывающим услуги), связанные с разработкой, модернизацией и (или) апробацией робототехнических комплексов (систем), систем связи, средств радиоэлектронного подавления, беспилотных летательных аппаратов и других технических средств, на территориях Донецкой Народной Республики, Луганской Народной Республики, Запорожской области, Херсонской области, на территориях субъектов Российской Федерации, предусмотренных </w:t>
      </w:r>
      <w:hyperlink r:id="rId7" w:tooltip="Указ Президента РФ от 19.10.2022 N 757 (ред. от 25.08.2023) &quot;О мерах, осуществляемых в субъектах Российской Федерации в связи с Указом Президента Российской Федерации от 19 октября 2022 г. N 756&quot; {КонсультантПлюс}">
        <w:r>
          <w:rPr>
            <w:color w:val="0000FF"/>
          </w:rPr>
          <w:t>пунктом 3</w:t>
        </w:r>
      </w:hyperlink>
      <w:r>
        <w:t xml:space="preserve"> Указа Президента Российской Федерации от 19 октября</w:t>
      </w:r>
      <w:proofErr w:type="gramEnd"/>
      <w:r>
        <w:t xml:space="preserve"> 2022 г. № 757 "О мерах, осуществляемых в субъектах Российской Федерации в связи с Указом Президента Российской Федерации от 19 октября 2022 г. № 756", и членам их семей следующие дополнительные социальные гарантии:</w:t>
      </w:r>
    </w:p>
    <w:p w:rsidR="009E28C7" w:rsidRDefault="001C496C">
      <w:pPr>
        <w:pStyle w:val="ConsPlusNormal"/>
        <w:spacing w:before="240"/>
        <w:ind w:firstLine="540"/>
        <w:jc w:val="both"/>
      </w:pPr>
      <w:proofErr w:type="gramStart"/>
      <w:r>
        <w:t xml:space="preserve">а) в случае гибели (смерти) лиц, названных в </w:t>
      </w:r>
      <w:hyperlink w:anchor="P14" w:tooltip="1. Предоставить лицам, исполняющим должностные (служебные, трудовые) обязанности, выполняющим работы (оказывающим услуги), связанные с разработкой, модернизацией и (или) апробацией робототехнических комплексов (систем), систем связи, средств радиоэлектронного ">
        <w:r>
          <w:rPr>
            <w:color w:val="0000FF"/>
          </w:rPr>
          <w:t>абзаце первом</w:t>
        </w:r>
      </w:hyperlink>
      <w:r>
        <w:t xml:space="preserve"> настоящего пункта, вследствие увечья (ранения, травмы, контузии), полученного в результате обстрелов, взрывов и (или) разрушений криминогенного характера при исполнении должностных (служебных, трудовых) обязанностей, выполнении работ (оказании услуг) на территориях, указанных в </w:t>
      </w:r>
      <w:hyperlink w:anchor="P14" w:tooltip="1. Предоставить лицам, исполняющим должностные (служебные, трудовые) обязанности, выполняющим работы (оказывающим услуги), связанные с разработкой, модернизацией и (или) апробацией робототехнических комплексов (систем), систем связи, средств радиоэлектронного ">
        <w:r>
          <w:rPr>
            <w:color w:val="0000FF"/>
          </w:rPr>
          <w:t>абзаце первом</w:t>
        </w:r>
      </w:hyperlink>
      <w:r>
        <w:t xml:space="preserve"> настоящего пункта, либо их смерти до истечения одного года со дня получения такого увечья (ранения, травмы, контузии</w:t>
      </w:r>
      <w:proofErr w:type="gramEnd"/>
      <w:r>
        <w:t xml:space="preserve">), </w:t>
      </w:r>
      <w:proofErr w:type="gramStart"/>
      <w:r>
        <w:t>наступившей вследствие такого увечья (ранения, травмы, контузии), осуществляется единовременная выплата в размере 5 млн. рублей в равных долях следующим лицам: супруге (супругу), состоявшей (состоявшему) на день гибели (смерти) в браке с погибшим (умершим), родителям погибшего (умершего), несовершеннолетним детям погибшего (умершего), детям старше 18 лет, ставшим инвалидами до достижения ими возраста 18 лет, детям в возрасте до 23 лет, обучающимся в</w:t>
      </w:r>
      <w:proofErr w:type="gramEnd"/>
      <w:r>
        <w:t xml:space="preserve"> </w:t>
      </w:r>
      <w:proofErr w:type="gramStart"/>
      <w:r>
        <w:t>образовательных организациях по очной форме обучения, лицам, находившимся на иждивении погибшего (умершего), лицам, признанным фактически воспитывавшими и содержавшими погибшего (умершего) в течение не менее пяти лет до достижения им совершеннолетия, а при отсутствии указанных лиц - совершеннолетним детям погибшего (умершего) либо в случае отсутствия совершеннолетних детей полнородным и неполнородным братьям и сестрам погибшего (умершего).</w:t>
      </w:r>
      <w:proofErr w:type="gramEnd"/>
      <w:r>
        <w:t xml:space="preserve"> При определении размера указанной единовременной выплаты учитывается размер единовременной выплаты, осуществленной (причитающейся) в соответствии с </w:t>
      </w:r>
      <w:hyperlink w:anchor="P16" w:tooltip="б) в случае получения лицами, названными в абзаце первом настоящего пункта, увечья (ранения, травмы, контузии) в результате обстрелов, взрывов и (или) разрушений криминогенного характера при исполнении должностных (служебных, трудовых) обязанностей, выполнении">
        <w:r>
          <w:rPr>
            <w:color w:val="0000FF"/>
          </w:rPr>
          <w:t>подпунктом "б"</w:t>
        </w:r>
      </w:hyperlink>
      <w:r>
        <w:t xml:space="preserve"> настоящего пункта;</w:t>
      </w:r>
    </w:p>
    <w:p w:rsidR="009E28C7" w:rsidRDefault="001C496C">
      <w:pPr>
        <w:pStyle w:val="ConsPlusNormal"/>
        <w:spacing w:before="240"/>
        <w:ind w:firstLine="540"/>
        <w:jc w:val="both"/>
      </w:pPr>
      <w:bookmarkStart w:id="2" w:name="P16"/>
      <w:bookmarkEnd w:id="2"/>
      <w:proofErr w:type="gramStart"/>
      <w:r>
        <w:lastRenderedPageBreak/>
        <w:t xml:space="preserve">б) в случае получения лицами, названными в </w:t>
      </w:r>
      <w:hyperlink w:anchor="P14" w:tooltip="1. Предоставить лицам, исполняющим должностные (служебные, трудовые) обязанности, выполняющим работы (оказывающим услуги), связанные с разработкой, модернизацией и (или) апробацией робототехнических комплексов (систем), систем связи, средств радиоэлектронного ">
        <w:r>
          <w:rPr>
            <w:color w:val="0000FF"/>
          </w:rPr>
          <w:t>абзаце первом</w:t>
        </w:r>
      </w:hyperlink>
      <w:r>
        <w:t xml:space="preserve"> настоящего пункта, увечья (ранения, травмы, контузии) в результате обстрелов, взрывов и (или) разрушений криминогенного характера при исполнении должностных (служебных, трудовых) обязанностей, выполнении работ (оказании услуг) на территориях, указанных в </w:t>
      </w:r>
      <w:hyperlink w:anchor="P14" w:tooltip="1. Предоставить лицам, исполняющим должностные (служебные, трудовые) обязанности, выполняющим работы (оказывающим услуги), связанные с разработкой, модернизацией и (или) апробацией робототехнических комплексов (систем), систем связи, средств радиоэлектронного ">
        <w:r>
          <w:rPr>
            <w:color w:val="0000FF"/>
          </w:rPr>
          <w:t>абзаце первом</w:t>
        </w:r>
      </w:hyperlink>
      <w:r>
        <w:t xml:space="preserve"> настоящего пункта, им осуществляется единовременная выплата в размере до 3 млн. рублей.</w:t>
      </w:r>
      <w:proofErr w:type="gramEnd"/>
      <w:r>
        <w:t xml:space="preserve"> Конкретные </w:t>
      </w:r>
      <w:hyperlink r:id="rId8" w:tooltip="Постановление Правительства РФ от 13.11.2024 N 1534 &quot;Об утверждении размеров единовременной выплаты лицу, которому в соответствии с указом Президента Российской Федерации установлена единовременная выплата при получении увечья (ранения, травмы, контузии), в за">
        <w:r>
          <w:rPr>
            <w:color w:val="0000FF"/>
          </w:rPr>
          <w:t>размеры</w:t>
        </w:r>
      </w:hyperlink>
      <w:r>
        <w:t xml:space="preserve"> единовременной выплаты в зависимости от степени тяжести увечья (ранения, травмы, контузии) определяются Правительством Российской Федерации. В случае если увечье (ранение, травма, контузия) повлекло за собой наступление инвалидности, осуществляется единовременная выплата в размере 4 млн. рублей с учетом единовременной выплаты, произведенной при получении этого увечья (ранения, травмы, контузии).</w:t>
      </w:r>
    </w:p>
    <w:p w:rsidR="009E28C7" w:rsidRDefault="001C496C">
      <w:pPr>
        <w:pStyle w:val="ConsPlusNormal"/>
        <w:spacing w:before="240"/>
        <w:ind w:firstLine="540"/>
        <w:jc w:val="both"/>
      </w:pPr>
      <w:r>
        <w:t>2. Получение единовременных выплат, установленных настоящим Указом, не учитывается при определении права на получение иных выплат и при предоставлении мер социальной поддержки, предусмотренных законодательством Российской Федерации и законодательством субъектов Российской Федерации.</w:t>
      </w:r>
    </w:p>
    <w:p w:rsidR="009E28C7" w:rsidRDefault="001C496C">
      <w:pPr>
        <w:pStyle w:val="ConsPlusNormal"/>
        <w:spacing w:before="240"/>
        <w:ind w:firstLine="540"/>
        <w:jc w:val="both"/>
      </w:pPr>
      <w:r>
        <w:t>3. Правительству Российской Федерации определить:</w:t>
      </w:r>
    </w:p>
    <w:p w:rsidR="009E28C7" w:rsidRDefault="001C496C">
      <w:pPr>
        <w:pStyle w:val="ConsPlusNormal"/>
        <w:spacing w:before="240"/>
        <w:ind w:firstLine="540"/>
        <w:jc w:val="both"/>
      </w:pPr>
      <w:r>
        <w:t>а) источники финансирования расходов, связанных с реализацией настоящего Указа;</w:t>
      </w:r>
    </w:p>
    <w:p w:rsidR="009E28C7" w:rsidRDefault="001C496C">
      <w:pPr>
        <w:pStyle w:val="ConsPlusNormal"/>
        <w:spacing w:before="240"/>
        <w:ind w:firstLine="540"/>
        <w:jc w:val="both"/>
      </w:pPr>
      <w:r>
        <w:t xml:space="preserve">б) </w:t>
      </w:r>
      <w:hyperlink r:id="rId9" w:tooltip="Постановление Правительства РФ от 06.05.2022 N 824 (ред. от 17.04.2026) &quot;Об утверждении Правил назначения и осуществления единовременных выплат, установленных указами Президента Российской Федерации от 30 апреля 2022 г. N 247 &quot;О поддержке волонтерской деятельн">
        <w:r>
          <w:rPr>
            <w:color w:val="0000FF"/>
          </w:rPr>
          <w:t>порядок</w:t>
        </w:r>
      </w:hyperlink>
      <w:r>
        <w:t xml:space="preserve"> назначения и осуществления единовременных выплат, установленных настоящим Указом;</w:t>
      </w:r>
    </w:p>
    <w:p w:rsidR="009E28C7" w:rsidRDefault="001C496C">
      <w:pPr>
        <w:pStyle w:val="ConsPlusNormal"/>
        <w:spacing w:before="240"/>
        <w:ind w:firstLine="540"/>
        <w:jc w:val="both"/>
      </w:pPr>
      <w:proofErr w:type="gramStart"/>
      <w:r>
        <w:t xml:space="preserve">в) порядок установления причинно-следственной связи между наступлением смерти лиц, названных в </w:t>
      </w:r>
      <w:hyperlink w:anchor="P14" w:tooltip="1. Предоставить лицам, исполняющим должностные (служебные, трудовые) обязанности, выполняющим работы (оказывающим услуги), связанные с разработкой, модернизацией и (или) апробацией робототехнических комплексов (систем), систем связи, средств радиоэлектронного ">
        <w:r>
          <w:rPr>
            <w:color w:val="0000FF"/>
          </w:rPr>
          <w:t>абзаце первом пункта 1</w:t>
        </w:r>
      </w:hyperlink>
      <w:r>
        <w:t xml:space="preserve"> настоящего Указа, и увечьем (ранением, травмой, контузией), полученным ими в результате обстрелов, взрывов и (или) разрушений криминогенного характера при исполнении должностных (служебных, трудовых) обязанностей, выполнении работ (оказании услуг), связанных с разработкой, модернизацией и (или) апробацией робототехнических комплексов (систем), систем связи, средств радиоэлектронного подавления, беспилотных летательных</w:t>
      </w:r>
      <w:proofErr w:type="gramEnd"/>
      <w:r>
        <w:t xml:space="preserve"> </w:t>
      </w:r>
      <w:proofErr w:type="gramStart"/>
      <w:r>
        <w:t xml:space="preserve">аппаратов и других технических средств, на территориях Донецкой Народной Республики, Луганской Народной Республики, Запорожской области, Херсонской области, на территориях субъектов Российской Федерации, предусмотренных </w:t>
      </w:r>
      <w:hyperlink r:id="rId10" w:tooltip="Указ Президента РФ от 19.10.2022 N 757 (ред. от 25.08.2023) &quot;О мерах, осуществляемых в субъектах Российской Федерации в связи с Указом Президента Российской Федерации от 19 октября 2022 г. N 756&quot; {КонсультантПлюс}">
        <w:r>
          <w:rPr>
            <w:color w:val="0000FF"/>
          </w:rPr>
          <w:t>пунктом 3</w:t>
        </w:r>
      </w:hyperlink>
      <w:r>
        <w:t xml:space="preserve"> Указа Президента Российской Федерации от 19 октября 2022 г. № 757 "О мерах, осуществляемых в субъектах Российской Федерации в связи с Указом Президента Российской Федерации от 19 октября 2022 г. № 756".</w:t>
      </w:r>
      <w:proofErr w:type="gramEnd"/>
    </w:p>
    <w:p w:rsidR="009E28C7" w:rsidRDefault="001C496C">
      <w:pPr>
        <w:pStyle w:val="ConsPlusNormal"/>
        <w:spacing w:before="240"/>
        <w:ind w:firstLine="540"/>
        <w:jc w:val="both"/>
      </w:pPr>
      <w:r>
        <w:t xml:space="preserve">4. Настоящий Указ </w:t>
      </w:r>
      <w:proofErr w:type="gramStart"/>
      <w:r>
        <w:t>вступает в силу со дня его подписания и распространяется</w:t>
      </w:r>
      <w:proofErr w:type="gramEnd"/>
      <w:r>
        <w:t xml:space="preserve"> на правоотношения, возникшие с 30 сентября 2022 г.</w:t>
      </w:r>
    </w:p>
    <w:p w:rsidR="009E28C7" w:rsidRDefault="009E28C7">
      <w:pPr>
        <w:pStyle w:val="ConsPlusNormal"/>
        <w:jc w:val="both"/>
      </w:pPr>
    </w:p>
    <w:p w:rsidR="009E28C7" w:rsidRDefault="001C496C">
      <w:pPr>
        <w:pStyle w:val="ConsPlusNormal"/>
        <w:jc w:val="right"/>
      </w:pPr>
      <w:r>
        <w:t>Президент</w:t>
      </w:r>
    </w:p>
    <w:p w:rsidR="009E28C7" w:rsidRDefault="001C496C">
      <w:pPr>
        <w:pStyle w:val="ConsPlusNormal"/>
        <w:jc w:val="right"/>
      </w:pPr>
      <w:r>
        <w:t>Российской Федерации</w:t>
      </w:r>
    </w:p>
    <w:p w:rsidR="009E28C7" w:rsidRDefault="001C496C">
      <w:pPr>
        <w:pStyle w:val="ConsPlusNormal"/>
        <w:jc w:val="right"/>
      </w:pPr>
      <w:r>
        <w:t>В.ПУТИН</w:t>
      </w:r>
    </w:p>
    <w:p w:rsidR="009E28C7" w:rsidRDefault="001C496C">
      <w:pPr>
        <w:pStyle w:val="ConsPlusNormal"/>
      </w:pPr>
      <w:r>
        <w:t>Москва, Кремль</w:t>
      </w:r>
    </w:p>
    <w:p w:rsidR="009E28C7" w:rsidRDefault="001C496C">
      <w:pPr>
        <w:pStyle w:val="ConsPlusNormal"/>
        <w:spacing w:before="240"/>
      </w:pPr>
      <w:r>
        <w:t>31 октября 2025 года</w:t>
      </w:r>
    </w:p>
    <w:p w:rsidR="009E28C7" w:rsidRDefault="001C496C" w:rsidP="001C496C">
      <w:pPr>
        <w:pStyle w:val="ConsPlusNormal"/>
        <w:spacing w:before="240"/>
        <w:rPr>
          <w:sz w:val="2"/>
          <w:szCs w:val="2"/>
        </w:rPr>
      </w:pPr>
      <w:r>
        <w:t>№ 794</w:t>
      </w:r>
    </w:p>
    <w:sectPr w:rsidR="009E28C7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71A" w:rsidRDefault="001C496C">
      <w:r>
        <w:separator/>
      </w:r>
    </w:p>
  </w:endnote>
  <w:endnote w:type="continuationSeparator" w:id="0">
    <w:p w:rsidR="0050671A" w:rsidRDefault="001C4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C7" w:rsidRDefault="009E28C7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E28C7">
      <w:trPr>
        <w:trHeight w:hRule="exact" w:val="1663"/>
      </w:trPr>
      <w:tc>
        <w:tcPr>
          <w:tcW w:w="1650" w:type="pct"/>
          <w:vAlign w:val="center"/>
        </w:tcPr>
        <w:p w:rsidR="009E28C7" w:rsidRDefault="009E28C7">
          <w:pPr>
            <w:pStyle w:val="ConsPlusNormal"/>
          </w:pPr>
        </w:p>
      </w:tc>
      <w:tc>
        <w:tcPr>
          <w:tcW w:w="1700" w:type="pct"/>
          <w:vAlign w:val="center"/>
        </w:tcPr>
        <w:p w:rsidR="009E28C7" w:rsidRDefault="009E28C7">
          <w:pPr>
            <w:pStyle w:val="ConsPlusNormal"/>
            <w:jc w:val="center"/>
          </w:pPr>
        </w:p>
      </w:tc>
      <w:tc>
        <w:tcPr>
          <w:tcW w:w="1650" w:type="pct"/>
          <w:vAlign w:val="center"/>
        </w:tcPr>
        <w:p w:rsidR="009E28C7" w:rsidRDefault="009E28C7">
          <w:pPr>
            <w:pStyle w:val="ConsPlusNormal"/>
            <w:jc w:val="right"/>
          </w:pPr>
        </w:p>
      </w:tc>
    </w:tr>
  </w:tbl>
  <w:p w:rsidR="009E28C7" w:rsidRDefault="001C496C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C7" w:rsidRDefault="009E28C7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E28C7">
      <w:trPr>
        <w:trHeight w:hRule="exact" w:val="1663"/>
      </w:trPr>
      <w:tc>
        <w:tcPr>
          <w:tcW w:w="1650" w:type="pct"/>
          <w:vAlign w:val="center"/>
        </w:tcPr>
        <w:p w:rsidR="009E28C7" w:rsidRDefault="009E28C7">
          <w:pPr>
            <w:pStyle w:val="ConsPlusNormal"/>
          </w:pPr>
        </w:p>
      </w:tc>
      <w:tc>
        <w:tcPr>
          <w:tcW w:w="1700" w:type="pct"/>
          <w:vAlign w:val="center"/>
        </w:tcPr>
        <w:p w:rsidR="009E28C7" w:rsidRDefault="009E28C7">
          <w:pPr>
            <w:pStyle w:val="ConsPlusNormal"/>
            <w:jc w:val="center"/>
          </w:pPr>
        </w:p>
      </w:tc>
      <w:tc>
        <w:tcPr>
          <w:tcW w:w="1650" w:type="pct"/>
          <w:vAlign w:val="center"/>
        </w:tcPr>
        <w:p w:rsidR="009E28C7" w:rsidRDefault="009E28C7">
          <w:pPr>
            <w:pStyle w:val="ConsPlusNormal"/>
            <w:jc w:val="right"/>
          </w:pPr>
        </w:p>
      </w:tc>
    </w:tr>
  </w:tbl>
  <w:p w:rsidR="009E28C7" w:rsidRDefault="001C496C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71A" w:rsidRDefault="001C496C">
      <w:r>
        <w:separator/>
      </w:r>
    </w:p>
  </w:footnote>
  <w:footnote w:type="continuationSeparator" w:id="0">
    <w:p w:rsidR="0050671A" w:rsidRDefault="001C49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9E28C7">
      <w:trPr>
        <w:trHeight w:hRule="exact" w:val="1683"/>
      </w:trPr>
      <w:tc>
        <w:tcPr>
          <w:tcW w:w="2700" w:type="pct"/>
          <w:vAlign w:val="center"/>
        </w:tcPr>
        <w:p w:rsidR="009E28C7" w:rsidRDefault="009E28C7">
          <w:pPr>
            <w:pStyle w:val="ConsPlusNormal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9E28C7" w:rsidRDefault="009E28C7">
          <w:pPr>
            <w:pStyle w:val="ConsPlusNormal"/>
            <w:jc w:val="right"/>
            <w:rPr>
              <w:rFonts w:ascii="Tahoma" w:hAnsi="Tahoma" w:cs="Tahoma"/>
            </w:rPr>
          </w:pPr>
        </w:p>
      </w:tc>
    </w:tr>
  </w:tbl>
  <w:p w:rsidR="009E28C7" w:rsidRDefault="009E28C7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9E28C7" w:rsidRDefault="009E28C7">
    <w:pPr>
      <w:pStyle w:val="ConsPlusNormal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9E28C7">
      <w:trPr>
        <w:trHeight w:hRule="exact" w:val="1683"/>
      </w:trPr>
      <w:tc>
        <w:tcPr>
          <w:tcW w:w="2700" w:type="pct"/>
          <w:vAlign w:val="center"/>
        </w:tcPr>
        <w:p w:rsidR="009E28C7" w:rsidRDefault="009E28C7">
          <w:pPr>
            <w:pStyle w:val="ConsPlusNormal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9E28C7" w:rsidRDefault="009E28C7">
          <w:pPr>
            <w:pStyle w:val="ConsPlusNormal"/>
            <w:jc w:val="right"/>
            <w:rPr>
              <w:rFonts w:ascii="Tahoma" w:hAnsi="Tahoma" w:cs="Tahoma"/>
            </w:rPr>
          </w:pPr>
        </w:p>
      </w:tc>
    </w:tr>
  </w:tbl>
  <w:p w:rsidR="009E28C7" w:rsidRDefault="009E28C7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9E28C7" w:rsidRDefault="009E28C7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8C7"/>
    <w:rsid w:val="001C496C"/>
    <w:rsid w:val="0050671A"/>
    <w:rsid w:val="009D74C9"/>
    <w:rsid w:val="009E2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1C49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96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C496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C496C"/>
  </w:style>
  <w:style w:type="paragraph" w:styleId="a7">
    <w:name w:val="footer"/>
    <w:basedOn w:val="a"/>
    <w:link w:val="a8"/>
    <w:uiPriority w:val="99"/>
    <w:unhideWhenUsed/>
    <w:rsid w:val="001C496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C49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1C49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96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C496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C496C"/>
  </w:style>
  <w:style w:type="paragraph" w:styleId="a7">
    <w:name w:val="footer"/>
    <w:basedOn w:val="a"/>
    <w:link w:val="a8"/>
    <w:uiPriority w:val="99"/>
    <w:unhideWhenUsed/>
    <w:rsid w:val="001C496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C49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s.0100.pfr.ru/cons/cgi/online.cgi?req=doc&amp;base=LAW&amp;n=490304&amp;date=04.08.2026&amp;dst=100009&amp;field=134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cons.0100.pfr.ru/cons/cgi/online.cgi?req=doc&amp;base=LAW&amp;n=455520&amp;date=04.08.2026&amp;dst=100009&amp;field=134" TargetMode="External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cons.0100.pfr.ru/cons/cgi/online.cgi?req=doc&amp;base=LAW&amp;n=455520&amp;date=04.08.2026&amp;dst=100009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ons.0100.pfr.ru/cons/cgi/online.cgi?req=doc&amp;base=LAW&amp;n=532294&amp;date=04.08.2026&amp;dst=262&amp;field=134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1265</Words>
  <Characters>7215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Президента РФ от 31.10.2025 N 794
"О предоставлении дополнительных социальных гарантий лицам, выполняющим работы на территориях некоторых субъектов Российской Федерации, и членам их семей"</vt:lpstr>
    </vt:vector>
  </TitlesOfParts>
  <Company>КонсультантПлюс Версия 4025.00.50</Company>
  <LinksUpToDate>false</LinksUpToDate>
  <CharactersWithSpaces>8464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31.10.2025 N 794
"О предоставлении дополнительных социальных гарантий лицам, выполняющим работы на территориях некоторых субъектов Российской Федерации, и членам их семей"</dc:title>
  <dc:creator>Саранцев Георгий Александрович</dc:creator>
  <cp:lastModifiedBy>Саранцев Георгий Александрович</cp:lastModifiedBy>
  <cp:revision>3</cp:revision>
  <dcterms:created xsi:type="dcterms:W3CDTF">2026-08-04T13:39:00Z</dcterms:created>
  <dcterms:modified xsi:type="dcterms:W3CDTF">2026-08-04T14:21:00Z</dcterms:modified>
</cp:coreProperties>
</file>