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A8B" w:rsidRPr="00505A8B" w:rsidRDefault="00505A8B">
      <w:pPr>
        <w:pStyle w:val="ConsPlusTitlePage"/>
        <w:rPr>
          <w:color w:val="000000" w:themeColor="text1"/>
        </w:rPr>
      </w:pPr>
      <w:bookmarkStart w:id="0" w:name="_GoBack"/>
      <w:bookmarkEnd w:id="0"/>
      <w:r w:rsidRPr="00505A8B">
        <w:rPr>
          <w:color w:val="000000" w:themeColor="text1"/>
        </w:rPr>
        <w:br/>
      </w:r>
    </w:p>
    <w:p w:rsidR="00505A8B" w:rsidRPr="00505A8B" w:rsidRDefault="00505A8B">
      <w:pPr>
        <w:pStyle w:val="ConsPlusNormal"/>
        <w:jc w:val="both"/>
        <w:outlineLvl w:val="0"/>
        <w:rPr>
          <w:color w:val="000000" w:themeColor="text1"/>
        </w:rPr>
      </w:pPr>
    </w:p>
    <w:p w:rsidR="00505A8B" w:rsidRPr="00505A8B" w:rsidRDefault="00505A8B">
      <w:pPr>
        <w:pStyle w:val="ConsPlusNormal"/>
        <w:outlineLvl w:val="0"/>
        <w:rPr>
          <w:color w:val="000000" w:themeColor="text1"/>
        </w:rPr>
      </w:pPr>
      <w:r w:rsidRPr="00505A8B">
        <w:rPr>
          <w:color w:val="000000" w:themeColor="text1"/>
        </w:rPr>
        <w:t>Зарегистрировано в Минюсте России 22 мая 2025 г. N 82291</w:t>
      </w:r>
    </w:p>
    <w:p w:rsidR="00505A8B" w:rsidRPr="00505A8B" w:rsidRDefault="00505A8B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505A8B" w:rsidRPr="00505A8B" w:rsidRDefault="00505A8B">
      <w:pPr>
        <w:pStyle w:val="ConsPlusNormal"/>
        <w:jc w:val="both"/>
        <w:rPr>
          <w:color w:val="000000" w:themeColor="text1"/>
        </w:rPr>
      </w:pPr>
    </w:p>
    <w:p w:rsidR="00505A8B" w:rsidRPr="00505A8B" w:rsidRDefault="00505A8B">
      <w:pPr>
        <w:pStyle w:val="ConsPlusTitle"/>
        <w:jc w:val="center"/>
        <w:rPr>
          <w:color w:val="000000" w:themeColor="text1"/>
        </w:rPr>
      </w:pPr>
      <w:r w:rsidRPr="00505A8B">
        <w:rPr>
          <w:color w:val="000000" w:themeColor="text1"/>
        </w:rPr>
        <w:t>МИНИСТЕРСТВО ТРУДА И СОЦИАЛЬНОЙ ЗАЩИТЫ РОССИЙСКОЙ ФЕДЕРАЦИИ</w:t>
      </w:r>
    </w:p>
    <w:p w:rsidR="00505A8B" w:rsidRPr="00505A8B" w:rsidRDefault="00505A8B">
      <w:pPr>
        <w:pStyle w:val="ConsPlusTitle"/>
        <w:jc w:val="center"/>
        <w:rPr>
          <w:color w:val="000000" w:themeColor="text1"/>
        </w:rPr>
      </w:pPr>
    </w:p>
    <w:p w:rsidR="00505A8B" w:rsidRPr="00505A8B" w:rsidRDefault="00505A8B">
      <w:pPr>
        <w:pStyle w:val="ConsPlusTitle"/>
        <w:jc w:val="center"/>
        <w:rPr>
          <w:color w:val="000000" w:themeColor="text1"/>
        </w:rPr>
      </w:pPr>
      <w:r w:rsidRPr="00505A8B">
        <w:rPr>
          <w:color w:val="000000" w:themeColor="text1"/>
        </w:rPr>
        <w:t>ПРИКАЗ</w:t>
      </w:r>
    </w:p>
    <w:p w:rsidR="00505A8B" w:rsidRPr="00505A8B" w:rsidRDefault="00505A8B">
      <w:pPr>
        <w:pStyle w:val="ConsPlusTitle"/>
        <w:jc w:val="center"/>
        <w:rPr>
          <w:color w:val="000000" w:themeColor="text1"/>
        </w:rPr>
      </w:pPr>
      <w:r w:rsidRPr="00505A8B">
        <w:rPr>
          <w:color w:val="000000" w:themeColor="text1"/>
        </w:rPr>
        <w:t>от 10 апреля 2025 г. N 198н</w:t>
      </w:r>
    </w:p>
    <w:p w:rsidR="00505A8B" w:rsidRPr="00505A8B" w:rsidRDefault="00505A8B">
      <w:pPr>
        <w:pStyle w:val="ConsPlusTitle"/>
        <w:jc w:val="center"/>
        <w:rPr>
          <w:color w:val="000000" w:themeColor="text1"/>
        </w:rPr>
      </w:pPr>
    </w:p>
    <w:p w:rsidR="00505A8B" w:rsidRPr="00505A8B" w:rsidRDefault="00505A8B">
      <w:pPr>
        <w:pStyle w:val="ConsPlusTitle"/>
        <w:jc w:val="center"/>
        <w:rPr>
          <w:color w:val="000000" w:themeColor="text1"/>
        </w:rPr>
      </w:pPr>
      <w:r w:rsidRPr="00505A8B">
        <w:rPr>
          <w:color w:val="000000" w:themeColor="text1"/>
        </w:rPr>
        <w:t>ОБ УТВЕРЖДЕНИИ ОСОБЕННОСТЕЙ</w:t>
      </w:r>
    </w:p>
    <w:p w:rsidR="00505A8B" w:rsidRPr="00505A8B" w:rsidRDefault="00505A8B">
      <w:pPr>
        <w:pStyle w:val="ConsPlusTitle"/>
        <w:jc w:val="center"/>
        <w:rPr>
          <w:color w:val="000000" w:themeColor="text1"/>
        </w:rPr>
      </w:pPr>
      <w:r w:rsidRPr="00505A8B">
        <w:rPr>
          <w:color w:val="000000" w:themeColor="text1"/>
        </w:rPr>
        <w:t>ПРОВЕДЕНИЯ СПЕЦИАЛЬНОЙ ОЦЕНКИ УСЛОВИЙ ТРУДА НА РАБОЧИХ</w:t>
      </w:r>
    </w:p>
    <w:p w:rsidR="00505A8B" w:rsidRPr="00505A8B" w:rsidRDefault="00505A8B">
      <w:pPr>
        <w:pStyle w:val="ConsPlusTitle"/>
        <w:jc w:val="center"/>
        <w:rPr>
          <w:color w:val="000000" w:themeColor="text1"/>
        </w:rPr>
      </w:pPr>
      <w:proofErr w:type="gramStart"/>
      <w:r w:rsidRPr="00505A8B">
        <w:rPr>
          <w:color w:val="000000" w:themeColor="text1"/>
        </w:rPr>
        <w:t>МЕСТАХ</w:t>
      </w:r>
      <w:proofErr w:type="gramEnd"/>
      <w:r w:rsidRPr="00505A8B">
        <w:rPr>
          <w:color w:val="000000" w:themeColor="text1"/>
        </w:rPr>
        <w:t xml:space="preserve"> РАБОТНИКОВ, ЗАНЯТЫХ НА ПОДЗЕМНЫХ РАБОТАХ</w:t>
      </w:r>
    </w:p>
    <w:p w:rsidR="00505A8B" w:rsidRPr="00505A8B" w:rsidRDefault="00505A8B">
      <w:pPr>
        <w:pStyle w:val="ConsPlusNormal"/>
        <w:ind w:firstLine="540"/>
        <w:jc w:val="both"/>
        <w:rPr>
          <w:color w:val="000000" w:themeColor="text1"/>
        </w:rPr>
      </w:pPr>
    </w:p>
    <w:p w:rsidR="00505A8B" w:rsidRPr="00505A8B" w:rsidRDefault="00505A8B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505A8B">
        <w:rPr>
          <w:color w:val="000000" w:themeColor="text1"/>
        </w:rPr>
        <w:t xml:space="preserve">В соответствии с </w:t>
      </w:r>
      <w:hyperlink r:id="rId5">
        <w:r w:rsidRPr="00505A8B">
          <w:rPr>
            <w:color w:val="000000" w:themeColor="text1"/>
          </w:rPr>
          <w:t>частью 7 статьи 9</w:t>
        </w:r>
      </w:hyperlink>
      <w:r w:rsidRPr="00505A8B">
        <w:rPr>
          <w:color w:val="000000" w:themeColor="text1"/>
        </w:rPr>
        <w:t xml:space="preserve"> Федерального закона от 28 декабря 2013 г. N 426-ФЗ "О специальной оценке условий труда", </w:t>
      </w:r>
      <w:hyperlink r:id="rId6">
        <w:r w:rsidRPr="00505A8B">
          <w:rPr>
            <w:color w:val="000000" w:themeColor="text1"/>
          </w:rPr>
          <w:t>пунктом 11</w:t>
        </w:r>
      </w:hyperlink>
      <w:r w:rsidRPr="00505A8B">
        <w:rPr>
          <w:color w:val="000000" w:themeColor="text1"/>
        </w:rPr>
        <w:t xml:space="preserve"> перечня рабочих мест в организациях, осуществляющих отдельные виды деятельности, в отношении которых специальная оценка условий труда проводится с учетом устанавливаемых уполномоченным федеральным органом исполнительной власти особенностей, утвержденного постановлением Правительства Российской Федерации от 14 октября 2022 г. N</w:t>
      </w:r>
      <w:proofErr w:type="gramEnd"/>
      <w:r w:rsidRPr="00505A8B">
        <w:rPr>
          <w:color w:val="000000" w:themeColor="text1"/>
        </w:rPr>
        <w:t xml:space="preserve"> 1830, и </w:t>
      </w:r>
      <w:hyperlink r:id="rId7">
        <w:r w:rsidRPr="00505A8B">
          <w:rPr>
            <w:color w:val="000000" w:themeColor="text1"/>
          </w:rPr>
          <w:t>подпунктом 5.2.16(1) пункта 5</w:t>
        </w:r>
      </w:hyperlink>
      <w:r w:rsidRPr="00505A8B">
        <w:rPr>
          <w:color w:val="000000" w:themeColor="text1"/>
        </w:rP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 w:rsidR="00505A8B" w:rsidRPr="00505A8B" w:rsidRDefault="00505A8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05A8B">
        <w:rPr>
          <w:color w:val="000000" w:themeColor="text1"/>
        </w:rPr>
        <w:t xml:space="preserve">1. Утвердить по согласованию с Министерством промышленности и торговли Российской Федерации и Министерством </w:t>
      </w:r>
      <w:proofErr w:type="gramStart"/>
      <w:r w:rsidRPr="00505A8B">
        <w:rPr>
          <w:color w:val="000000" w:themeColor="text1"/>
        </w:rPr>
        <w:t xml:space="preserve">энергетики Российской Федерации </w:t>
      </w:r>
      <w:hyperlink w:anchor="P33">
        <w:r w:rsidRPr="00505A8B">
          <w:rPr>
            <w:color w:val="000000" w:themeColor="text1"/>
          </w:rPr>
          <w:t>особенности</w:t>
        </w:r>
      </w:hyperlink>
      <w:r w:rsidRPr="00505A8B">
        <w:rPr>
          <w:color w:val="000000" w:themeColor="text1"/>
        </w:rPr>
        <w:t xml:space="preserve"> проведения специальной оценки условий труда</w:t>
      </w:r>
      <w:proofErr w:type="gramEnd"/>
      <w:r w:rsidRPr="00505A8B">
        <w:rPr>
          <w:color w:val="000000" w:themeColor="text1"/>
        </w:rPr>
        <w:t xml:space="preserve"> на рабочих местах работников, занятых на подземных работах, согласно приложению к настоящему приказу.</w:t>
      </w:r>
    </w:p>
    <w:p w:rsidR="00505A8B" w:rsidRPr="00505A8B" w:rsidRDefault="00505A8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05A8B">
        <w:rPr>
          <w:color w:val="000000" w:themeColor="text1"/>
        </w:rPr>
        <w:t>2. Признать утратившими силу:</w:t>
      </w:r>
    </w:p>
    <w:p w:rsidR="00505A8B" w:rsidRPr="00505A8B" w:rsidRDefault="00505A8B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8">
        <w:r w:rsidRPr="00505A8B">
          <w:rPr>
            <w:color w:val="000000" w:themeColor="text1"/>
          </w:rPr>
          <w:t>приказ</w:t>
        </w:r>
      </w:hyperlink>
      <w:r w:rsidRPr="00505A8B">
        <w:rPr>
          <w:color w:val="000000" w:themeColor="text1"/>
        </w:rPr>
        <w:t xml:space="preserve"> Министерства труда и социальной защиты Российской Федерации от 9 декабря 2014 г. N 996н "Об утверждении </w:t>
      </w:r>
      <w:proofErr w:type="gramStart"/>
      <w:r w:rsidRPr="00505A8B">
        <w:rPr>
          <w:color w:val="000000" w:themeColor="text1"/>
        </w:rPr>
        <w:t>особенностей проведения специальной оценки условий труда</w:t>
      </w:r>
      <w:proofErr w:type="gramEnd"/>
      <w:r w:rsidRPr="00505A8B">
        <w:rPr>
          <w:color w:val="000000" w:themeColor="text1"/>
        </w:rPr>
        <w:t xml:space="preserve"> на рабочих местах работников, занятых на подземных работах" (зарегистрирован Министерством юстиции Российской Федерации 16 марта 2015 г., регистрационный N 36445);</w:t>
      </w:r>
    </w:p>
    <w:p w:rsidR="00505A8B" w:rsidRPr="00505A8B" w:rsidRDefault="00505A8B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9">
        <w:proofErr w:type="gramStart"/>
        <w:r w:rsidRPr="00505A8B">
          <w:rPr>
            <w:color w:val="000000" w:themeColor="text1"/>
          </w:rPr>
          <w:t>приказ</w:t>
        </w:r>
      </w:hyperlink>
      <w:r w:rsidRPr="00505A8B">
        <w:rPr>
          <w:color w:val="000000" w:themeColor="text1"/>
        </w:rPr>
        <w:t xml:space="preserve"> Министерства труда и социальной защиты Российской Федерации от 16 декабря 2019 г. N 796н "О внесении изменений в особенности проведения специальной оценки условий труда на рабочих местах работников, занятых на подземных работах, утвержденные приказом Министерства труда и социальной защиты Российской Федерации от 9 декабря 2014 г. N 996н" (зарегистрирован Министерством юстиции Российской Федерации 18 марта 2020 г., регистрационный N</w:t>
      </w:r>
      <w:proofErr w:type="gramEnd"/>
      <w:r w:rsidRPr="00505A8B">
        <w:rPr>
          <w:color w:val="000000" w:themeColor="text1"/>
        </w:rPr>
        <w:t xml:space="preserve"> 57783).</w:t>
      </w:r>
    </w:p>
    <w:p w:rsidR="00505A8B" w:rsidRPr="00505A8B" w:rsidRDefault="00505A8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05A8B">
        <w:rPr>
          <w:color w:val="000000" w:themeColor="text1"/>
        </w:rPr>
        <w:t>3. Установить, что настоящий приказ вступает в силу с 1 сентября 2025 г. и действует до 1 марта 2029 г.</w:t>
      </w:r>
    </w:p>
    <w:p w:rsidR="00505A8B" w:rsidRPr="00505A8B" w:rsidRDefault="00505A8B">
      <w:pPr>
        <w:pStyle w:val="ConsPlusNormal"/>
        <w:ind w:firstLine="540"/>
        <w:jc w:val="both"/>
        <w:rPr>
          <w:color w:val="000000" w:themeColor="text1"/>
        </w:rPr>
      </w:pPr>
    </w:p>
    <w:p w:rsidR="00505A8B" w:rsidRPr="00505A8B" w:rsidRDefault="00505A8B">
      <w:pPr>
        <w:pStyle w:val="ConsPlusNormal"/>
        <w:jc w:val="right"/>
        <w:rPr>
          <w:color w:val="000000" w:themeColor="text1"/>
        </w:rPr>
      </w:pPr>
      <w:r w:rsidRPr="00505A8B">
        <w:rPr>
          <w:color w:val="000000" w:themeColor="text1"/>
        </w:rPr>
        <w:t>Министр</w:t>
      </w:r>
    </w:p>
    <w:p w:rsidR="00505A8B" w:rsidRPr="00505A8B" w:rsidRDefault="00505A8B">
      <w:pPr>
        <w:pStyle w:val="ConsPlusNormal"/>
        <w:jc w:val="right"/>
        <w:rPr>
          <w:color w:val="000000" w:themeColor="text1"/>
        </w:rPr>
      </w:pPr>
      <w:r w:rsidRPr="00505A8B">
        <w:rPr>
          <w:color w:val="000000" w:themeColor="text1"/>
        </w:rPr>
        <w:t>А.О.КОТЯКОВ</w:t>
      </w:r>
    </w:p>
    <w:p w:rsidR="00505A8B" w:rsidRPr="00505A8B" w:rsidRDefault="00505A8B">
      <w:pPr>
        <w:pStyle w:val="ConsPlusNormal"/>
        <w:ind w:firstLine="540"/>
        <w:jc w:val="both"/>
        <w:rPr>
          <w:color w:val="000000" w:themeColor="text1"/>
        </w:rPr>
      </w:pPr>
    </w:p>
    <w:p w:rsidR="00505A8B" w:rsidRPr="00505A8B" w:rsidRDefault="00505A8B">
      <w:pPr>
        <w:pStyle w:val="ConsPlusNormal"/>
        <w:ind w:firstLine="540"/>
        <w:jc w:val="both"/>
        <w:rPr>
          <w:color w:val="000000" w:themeColor="text1"/>
        </w:rPr>
      </w:pPr>
    </w:p>
    <w:p w:rsidR="00505A8B" w:rsidRPr="00505A8B" w:rsidRDefault="00505A8B">
      <w:pPr>
        <w:pStyle w:val="ConsPlusNormal"/>
        <w:ind w:firstLine="540"/>
        <w:jc w:val="both"/>
        <w:rPr>
          <w:color w:val="000000" w:themeColor="text1"/>
        </w:rPr>
      </w:pPr>
    </w:p>
    <w:p w:rsidR="00505A8B" w:rsidRPr="00505A8B" w:rsidRDefault="00505A8B">
      <w:pPr>
        <w:pStyle w:val="ConsPlusNormal"/>
        <w:ind w:firstLine="540"/>
        <w:jc w:val="both"/>
        <w:rPr>
          <w:color w:val="000000" w:themeColor="text1"/>
        </w:rPr>
      </w:pPr>
    </w:p>
    <w:p w:rsidR="00505A8B" w:rsidRPr="00505A8B" w:rsidRDefault="00505A8B">
      <w:pPr>
        <w:pStyle w:val="ConsPlusNormal"/>
        <w:ind w:firstLine="540"/>
        <w:jc w:val="both"/>
        <w:rPr>
          <w:color w:val="000000" w:themeColor="text1"/>
        </w:rPr>
      </w:pPr>
    </w:p>
    <w:p w:rsidR="00505A8B" w:rsidRPr="00505A8B" w:rsidRDefault="00505A8B">
      <w:pPr>
        <w:pStyle w:val="ConsPlusNormal"/>
        <w:jc w:val="right"/>
        <w:outlineLvl w:val="0"/>
        <w:rPr>
          <w:color w:val="000000" w:themeColor="text1"/>
        </w:rPr>
      </w:pPr>
      <w:r w:rsidRPr="00505A8B">
        <w:rPr>
          <w:color w:val="000000" w:themeColor="text1"/>
        </w:rPr>
        <w:t>Приложение</w:t>
      </w:r>
    </w:p>
    <w:p w:rsidR="00505A8B" w:rsidRPr="00505A8B" w:rsidRDefault="00505A8B">
      <w:pPr>
        <w:pStyle w:val="ConsPlusNormal"/>
        <w:jc w:val="right"/>
        <w:rPr>
          <w:color w:val="000000" w:themeColor="text1"/>
        </w:rPr>
      </w:pPr>
      <w:r w:rsidRPr="00505A8B">
        <w:rPr>
          <w:color w:val="000000" w:themeColor="text1"/>
        </w:rPr>
        <w:t>к приказу Министерства труда</w:t>
      </w:r>
    </w:p>
    <w:p w:rsidR="00505A8B" w:rsidRPr="00505A8B" w:rsidRDefault="00505A8B">
      <w:pPr>
        <w:pStyle w:val="ConsPlusNormal"/>
        <w:jc w:val="right"/>
        <w:rPr>
          <w:color w:val="000000" w:themeColor="text1"/>
        </w:rPr>
      </w:pPr>
      <w:r w:rsidRPr="00505A8B">
        <w:rPr>
          <w:color w:val="000000" w:themeColor="text1"/>
        </w:rPr>
        <w:lastRenderedPageBreak/>
        <w:t>и социальной защиты</w:t>
      </w:r>
    </w:p>
    <w:p w:rsidR="00505A8B" w:rsidRPr="00505A8B" w:rsidRDefault="00505A8B">
      <w:pPr>
        <w:pStyle w:val="ConsPlusNormal"/>
        <w:jc w:val="right"/>
        <w:rPr>
          <w:color w:val="000000" w:themeColor="text1"/>
        </w:rPr>
      </w:pPr>
      <w:r w:rsidRPr="00505A8B">
        <w:rPr>
          <w:color w:val="000000" w:themeColor="text1"/>
        </w:rPr>
        <w:t>Российской Федерации</w:t>
      </w:r>
    </w:p>
    <w:p w:rsidR="00505A8B" w:rsidRPr="00505A8B" w:rsidRDefault="00505A8B">
      <w:pPr>
        <w:pStyle w:val="ConsPlusNormal"/>
        <w:jc w:val="right"/>
        <w:rPr>
          <w:color w:val="000000" w:themeColor="text1"/>
        </w:rPr>
      </w:pPr>
      <w:r w:rsidRPr="00505A8B">
        <w:rPr>
          <w:color w:val="000000" w:themeColor="text1"/>
        </w:rPr>
        <w:t>от 10 апреля 2025 г. N 198н</w:t>
      </w:r>
    </w:p>
    <w:p w:rsidR="00505A8B" w:rsidRPr="00505A8B" w:rsidRDefault="00505A8B">
      <w:pPr>
        <w:pStyle w:val="ConsPlusNormal"/>
        <w:jc w:val="right"/>
        <w:rPr>
          <w:color w:val="000000" w:themeColor="text1"/>
        </w:rPr>
      </w:pPr>
    </w:p>
    <w:p w:rsidR="00505A8B" w:rsidRPr="00505A8B" w:rsidRDefault="00505A8B">
      <w:pPr>
        <w:pStyle w:val="ConsPlusTitle"/>
        <w:jc w:val="center"/>
        <w:rPr>
          <w:color w:val="000000" w:themeColor="text1"/>
        </w:rPr>
      </w:pPr>
      <w:bookmarkStart w:id="1" w:name="P33"/>
      <w:bookmarkEnd w:id="1"/>
      <w:r w:rsidRPr="00505A8B">
        <w:rPr>
          <w:color w:val="000000" w:themeColor="text1"/>
        </w:rPr>
        <w:t>ОСОБЕННОСТИ</w:t>
      </w:r>
    </w:p>
    <w:p w:rsidR="00505A8B" w:rsidRPr="00505A8B" w:rsidRDefault="00505A8B">
      <w:pPr>
        <w:pStyle w:val="ConsPlusTitle"/>
        <w:jc w:val="center"/>
        <w:rPr>
          <w:color w:val="000000" w:themeColor="text1"/>
        </w:rPr>
      </w:pPr>
      <w:r w:rsidRPr="00505A8B">
        <w:rPr>
          <w:color w:val="000000" w:themeColor="text1"/>
        </w:rPr>
        <w:t>ПРОВЕДЕНИЯ СПЕЦИАЛЬНОЙ ОЦЕНКИ УСЛОВИЙ ТРУДА НА РАБОЧИХ</w:t>
      </w:r>
    </w:p>
    <w:p w:rsidR="00505A8B" w:rsidRPr="00505A8B" w:rsidRDefault="00505A8B">
      <w:pPr>
        <w:pStyle w:val="ConsPlusTitle"/>
        <w:jc w:val="center"/>
        <w:rPr>
          <w:color w:val="000000" w:themeColor="text1"/>
        </w:rPr>
      </w:pPr>
      <w:proofErr w:type="gramStart"/>
      <w:r w:rsidRPr="00505A8B">
        <w:rPr>
          <w:color w:val="000000" w:themeColor="text1"/>
        </w:rPr>
        <w:t>МЕСТАХ</w:t>
      </w:r>
      <w:proofErr w:type="gramEnd"/>
      <w:r w:rsidRPr="00505A8B">
        <w:rPr>
          <w:color w:val="000000" w:themeColor="text1"/>
        </w:rPr>
        <w:t xml:space="preserve"> РАБОТНИКОВ, ЗАНЯТЫХ НА ПОДЗЕМНЫХ РАБОТАХ</w:t>
      </w:r>
    </w:p>
    <w:p w:rsidR="00505A8B" w:rsidRPr="00505A8B" w:rsidRDefault="00505A8B">
      <w:pPr>
        <w:pStyle w:val="ConsPlusNormal"/>
        <w:jc w:val="center"/>
        <w:rPr>
          <w:color w:val="000000" w:themeColor="text1"/>
        </w:rPr>
      </w:pPr>
    </w:p>
    <w:p w:rsidR="00505A8B" w:rsidRPr="00505A8B" w:rsidRDefault="00505A8B">
      <w:pPr>
        <w:pStyle w:val="ConsPlusNormal"/>
        <w:ind w:firstLine="540"/>
        <w:jc w:val="both"/>
        <w:rPr>
          <w:color w:val="000000" w:themeColor="text1"/>
        </w:rPr>
      </w:pPr>
      <w:r w:rsidRPr="00505A8B">
        <w:rPr>
          <w:color w:val="000000" w:themeColor="text1"/>
        </w:rPr>
        <w:t xml:space="preserve">1. Специальная оценка условий труда на рабочих местах работников, занятых на подземных работах (далее соответственно - работники, рабочие места), осуществляется в соответствии с </w:t>
      </w:r>
      <w:hyperlink r:id="rId10">
        <w:r w:rsidRPr="00505A8B">
          <w:rPr>
            <w:color w:val="000000" w:themeColor="text1"/>
          </w:rPr>
          <w:t>Методикой</w:t>
        </w:r>
      </w:hyperlink>
      <w:r w:rsidRPr="00505A8B">
        <w:rPr>
          <w:color w:val="000000" w:themeColor="text1"/>
        </w:rPr>
        <w:t xml:space="preserve"> проведения специальной оценки условий труда, утвержденной приказом Министерства труда и социальной защиты Российской Федерации от 21 ноября 2023 г. N 817н &lt;1&gt;, с учетом настоящих Особенностей.</w:t>
      </w:r>
    </w:p>
    <w:p w:rsidR="00505A8B" w:rsidRPr="00505A8B" w:rsidRDefault="00505A8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05A8B">
        <w:rPr>
          <w:color w:val="000000" w:themeColor="text1"/>
        </w:rPr>
        <w:t>--------------------------------</w:t>
      </w:r>
    </w:p>
    <w:p w:rsidR="00505A8B" w:rsidRPr="00505A8B" w:rsidRDefault="00505A8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05A8B">
        <w:rPr>
          <w:color w:val="000000" w:themeColor="text1"/>
        </w:rPr>
        <w:t xml:space="preserve">&lt;1&gt; </w:t>
      </w:r>
      <w:proofErr w:type="gramStart"/>
      <w:r w:rsidRPr="00505A8B">
        <w:rPr>
          <w:color w:val="000000" w:themeColor="text1"/>
        </w:rPr>
        <w:t>Зарегистрирован</w:t>
      </w:r>
      <w:proofErr w:type="gramEnd"/>
      <w:r w:rsidRPr="00505A8B">
        <w:rPr>
          <w:color w:val="000000" w:themeColor="text1"/>
        </w:rPr>
        <w:t xml:space="preserve"> Министерством юстиции Российской Федерации 30 ноября 2023 г., регистрационный N 76179. Срок действия установлен до 1 сентября 2030 г.</w:t>
      </w:r>
    </w:p>
    <w:p w:rsidR="00505A8B" w:rsidRPr="00505A8B" w:rsidRDefault="00505A8B">
      <w:pPr>
        <w:pStyle w:val="ConsPlusNormal"/>
        <w:ind w:firstLine="540"/>
        <w:jc w:val="both"/>
        <w:rPr>
          <w:color w:val="000000" w:themeColor="text1"/>
        </w:rPr>
      </w:pPr>
    </w:p>
    <w:p w:rsidR="00505A8B" w:rsidRPr="00505A8B" w:rsidRDefault="00505A8B">
      <w:pPr>
        <w:pStyle w:val="ConsPlusNormal"/>
        <w:ind w:firstLine="540"/>
        <w:jc w:val="both"/>
        <w:rPr>
          <w:color w:val="000000" w:themeColor="text1"/>
        </w:rPr>
      </w:pPr>
      <w:r w:rsidRPr="00505A8B">
        <w:rPr>
          <w:color w:val="000000" w:themeColor="text1"/>
        </w:rPr>
        <w:t>2. Эксперты и иные работники организации, проводящей специальную оценку условий труда, непосредственно участвующие в идентификации потенциально вредных и (или) опасных производственных факторов, проведении исследований (испытаний) и измерений вредных и (или) опасных производственных факторов на рабочих местах должны соблюдать следующие обязательные для допуска на данные рабочие места требования и условия:</w:t>
      </w:r>
    </w:p>
    <w:p w:rsidR="00505A8B" w:rsidRPr="00505A8B" w:rsidRDefault="00505A8B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505A8B">
        <w:rPr>
          <w:color w:val="000000" w:themeColor="text1"/>
        </w:rPr>
        <w:t xml:space="preserve">а) проходить обязательный медицинский осмотр в соответствии с </w:t>
      </w:r>
      <w:hyperlink r:id="rId11">
        <w:r w:rsidRPr="00505A8B">
          <w:rPr>
            <w:color w:val="000000" w:themeColor="text1"/>
          </w:rPr>
          <w:t>пунктом 16</w:t>
        </w:r>
      </w:hyperlink>
      <w:r w:rsidRPr="00505A8B">
        <w:rPr>
          <w:color w:val="000000" w:themeColor="text1"/>
        </w:rPr>
        <w:t xml:space="preserve">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осмотры, утвержденного приказом Министерства труда и социальной защиты Российской Федерации и Министерства здравоохранения Российской Федерации от 31 декабря 2020 г. N 988н/1420н &lt;2&gt;, с получением</w:t>
      </w:r>
      <w:proofErr w:type="gramEnd"/>
      <w:r w:rsidRPr="00505A8B">
        <w:rPr>
          <w:color w:val="000000" w:themeColor="text1"/>
        </w:rPr>
        <w:t xml:space="preserve"> заключения об отсутствии противопоказаний к выполнению подземных работ в соответствии с </w:t>
      </w:r>
      <w:hyperlink r:id="rId12">
        <w:r w:rsidRPr="00505A8B">
          <w:rPr>
            <w:color w:val="000000" w:themeColor="text1"/>
          </w:rPr>
          <w:t>пунктами 15</w:t>
        </w:r>
      </w:hyperlink>
      <w:r w:rsidRPr="00505A8B">
        <w:rPr>
          <w:color w:val="000000" w:themeColor="text1"/>
        </w:rPr>
        <w:t xml:space="preserve"> и </w:t>
      </w:r>
      <w:hyperlink r:id="rId13">
        <w:r w:rsidRPr="00505A8B">
          <w:rPr>
            <w:color w:val="000000" w:themeColor="text1"/>
          </w:rPr>
          <w:t>16</w:t>
        </w:r>
      </w:hyperlink>
      <w:r w:rsidRPr="00505A8B">
        <w:rPr>
          <w:color w:val="000000" w:themeColor="text1"/>
        </w:rPr>
        <w:t xml:space="preserve">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утвержденного приказом Министерства здравоохранения Российской Федерации от 28 января 2021 г. N 29н &lt;3&gt;;</w:t>
      </w:r>
    </w:p>
    <w:p w:rsidR="00505A8B" w:rsidRPr="00505A8B" w:rsidRDefault="00505A8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05A8B">
        <w:rPr>
          <w:color w:val="000000" w:themeColor="text1"/>
        </w:rPr>
        <w:t>--------------------------------</w:t>
      </w:r>
    </w:p>
    <w:p w:rsidR="00505A8B" w:rsidRPr="00505A8B" w:rsidRDefault="00505A8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05A8B">
        <w:rPr>
          <w:color w:val="000000" w:themeColor="text1"/>
        </w:rPr>
        <w:t xml:space="preserve">&lt;2&gt; </w:t>
      </w:r>
      <w:proofErr w:type="gramStart"/>
      <w:r w:rsidRPr="00505A8B">
        <w:rPr>
          <w:color w:val="000000" w:themeColor="text1"/>
        </w:rPr>
        <w:t>Зарегистрирован</w:t>
      </w:r>
      <w:proofErr w:type="gramEnd"/>
      <w:r w:rsidRPr="00505A8B">
        <w:rPr>
          <w:color w:val="000000" w:themeColor="text1"/>
        </w:rPr>
        <w:t xml:space="preserve"> Министерством юстиции Российской Федерации 29 января 2021 г., регистрационный N 62278. Срок действия установлен до 1 апреля 2027 г.</w:t>
      </w:r>
    </w:p>
    <w:p w:rsidR="00505A8B" w:rsidRPr="00505A8B" w:rsidRDefault="00505A8B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505A8B">
        <w:rPr>
          <w:color w:val="000000" w:themeColor="text1"/>
        </w:rPr>
        <w:t>&lt;3&gt; Зарегистрирован Министерством юстиции Российской Федерации 29 января 2021 г., регистрационный N 62277, с изменениями, внесенными приказами Министерства здравоохранения Российской Федерации от 1 февраля 2022 г. N 44н (зарегистрирован Министерством юстиции Российской Федерации 9 февраля 2022 г., регистрационный N 67206) и от 2 октября 2024 г. N 509н (зарегистрирован Министерством юстиции Российской Федерации 1 ноября 2024 г., регистрационный N 79994</w:t>
      </w:r>
      <w:proofErr w:type="gramEnd"/>
      <w:r w:rsidRPr="00505A8B">
        <w:rPr>
          <w:color w:val="000000" w:themeColor="text1"/>
        </w:rPr>
        <w:t>). Срок действия установлен до 1 апреля 2027 г.</w:t>
      </w:r>
    </w:p>
    <w:p w:rsidR="00505A8B" w:rsidRPr="00505A8B" w:rsidRDefault="00505A8B">
      <w:pPr>
        <w:pStyle w:val="ConsPlusNormal"/>
        <w:ind w:firstLine="540"/>
        <w:jc w:val="both"/>
        <w:rPr>
          <w:color w:val="000000" w:themeColor="text1"/>
        </w:rPr>
      </w:pPr>
    </w:p>
    <w:p w:rsidR="00505A8B" w:rsidRPr="00505A8B" w:rsidRDefault="00505A8B">
      <w:pPr>
        <w:pStyle w:val="ConsPlusNormal"/>
        <w:ind w:firstLine="540"/>
        <w:jc w:val="both"/>
        <w:rPr>
          <w:color w:val="000000" w:themeColor="text1"/>
        </w:rPr>
      </w:pPr>
      <w:r w:rsidRPr="00505A8B">
        <w:rPr>
          <w:color w:val="000000" w:themeColor="text1"/>
        </w:rPr>
        <w:t xml:space="preserve">б) проходить целевой инструктаж, обязательный перед спуском в шахту, с проверкой навыков применения </w:t>
      </w:r>
      <w:proofErr w:type="spellStart"/>
      <w:r w:rsidRPr="00505A8B">
        <w:rPr>
          <w:color w:val="000000" w:themeColor="text1"/>
        </w:rPr>
        <w:t>самоспасателей</w:t>
      </w:r>
      <w:proofErr w:type="spellEnd"/>
      <w:r w:rsidRPr="00505A8B">
        <w:rPr>
          <w:color w:val="000000" w:themeColor="text1"/>
        </w:rPr>
        <w:t xml:space="preserve"> и других средств индивидуальной защиты;</w:t>
      </w:r>
    </w:p>
    <w:p w:rsidR="00505A8B" w:rsidRPr="00505A8B" w:rsidRDefault="00505A8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05A8B">
        <w:rPr>
          <w:color w:val="000000" w:themeColor="text1"/>
        </w:rPr>
        <w:t>в) спускаться в шахту и перемещаться по горным выработкам только в сопровождении уполномоченного лица работодателя (заказчика);</w:t>
      </w:r>
    </w:p>
    <w:p w:rsidR="00505A8B" w:rsidRPr="00505A8B" w:rsidRDefault="00505A8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05A8B">
        <w:rPr>
          <w:color w:val="000000" w:themeColor="text1"/>
        </w:rPr>
        <w:lastRenderedPageBreak/>
        <w:t>г) осуществлять деятельность по идентификации потенциально вредных и (или) опасных производственных факторов, проведению исследований (испытаний) и измерений вредных и (или) опасных производственных факторов под контролем уполномоченного лица работодателя (заказчика).</w:t>
      </w:r>
    </w:p>
    <w:p w:rsidR="00505A8B" w:rsidRPr="00505A8B" w:rsidRDefault="00505A8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05A8B">
        <w:rPr>
          <w:color w:val="000000" w:themeColor="text1"/>
        </w:rPr>
        <w:t>3. При проведении исследований (испытаний) и измерений вредных и (или) опасных производственных факторов в подземных выработках шахт, опасных по газу, должны применяться средства измерений в рудничном искробезопасном исполнении.</w:t>
      </w:r>
    </w:p>
    <w:p w:rsidR="00505A8B" w:rsidRPr="00505A8B" w:rsidRDefault="00505A8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05A8B">
        <w:rPr>
          <w:color w:val="000000" w:themeColor="text1"/>
        </w:rPr>
        <w:t>В случае невозможности применения средств измерений в рудничном искробезопасном исполнении при проведении исследований (испытаний) и измерений вредных и (или) опасных производственных факторов в подземных выработках шахт, опасных по газу, необходимо обеспечить контроль содержания метана в воздухе, максимальная концентрация которого не должна превышать 1%, с использованием индивидуальных автоматических приборов.</w:t>
      </w:r>
    </w:p>
    <w:p w:rsidR="00505A8B" w:rsidRPr="00505A8B" w:rsidRDefault="00505A8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05A8B">
        <w:rPr>
          <w:color w:val="000000" w:themeColor="text1"/>
        </w:rPr>
        <w:t>4. При проведении специальной оценки условий труда на рабочих местах обязательным исследованиям (испытаниям) и измерениям при ведении подземных работ в угольной промышленности подлежат следующие вредные и (или) опасные производственные факторы:</w:t>
      </w:r>
    </w:p>
    <w:p w:rsidR="00505A8B" w:rsidRPr="00505A8B" w:rsidRDefault="00505A8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05A8B">
        <w:rPr>
          <w:color w:val="000000" w:themeColor="text1"/>
        </w:rPr>
        <w:t>а) микроклимат;</w:t>
      </w:r>
    </w:p>
    <w:p w:rsidR="00505A8B" w:rsidRPr="00505A8B" w:rsidRDefault="00505A8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05A8B">
        <w:rPr>
          <w:color w:val="000000" w:themeColor="text1"/>
        </w:rPr>
        <w:t>б) световая среда;</w:t>
      </w:r>
    </w:p>
    <w:p w:rsidR="00505A8B" w:rsidRPr="00505A8B" w:rsidRDefault="00505A8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05A8B">
        <w:rPr>
          <w:color w:val="000000" w:themeColor="text1"/>
        </w:rPr>
        <w:t>в) ионизирующие излучения.</w:t>
      </w:r>
    </w:p>
    <w:p w:rsidR="00505A8B" w:rsidRPr="00505A8B" w:rsidRDefault="00505A8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05A8B">
        <w:rPr>
          <w:color w:val="000000" w:themeColor="text1"/>
        </w:rPr>
        <w:t>Ионизирующие излучения исследуются только при ведении подземных работ в угольной промышленности в отношении месторождений, на которых осуществляется добыча угля, содержащего указанные в лицензии на пользование недрами природные источники радиоактивного излучения.</w:t>
      </w:r>
    </w:p>
    <w:p w:rsidR="00505A8B" w:rsidRPr="00505A8B" w:rsidRDefault="00505A8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05A8B">
        <w:rPr>
          <w:color w:val="000000" w:themeColor="text1"/>
        </w:rPr>
        <w:t xml:space="preserve">5. </w:t>
      </w:r>
      <w:proofErr w:type="gramStart"/>
      <w:r w:rsidRPr="00505A8B">
        <w:rPr>
          <w:color w:val="000000" w:themeColor="text1"/>
        </w:rPr>
        <w:t xml:space="preserve">Отнесение условий труда к классу (подклассу) условий труда на рабочих местах при воздействии аэрозолей преимущественно </w:t>
      </w:r>
      <w:proofErr w:type="spellStart"/>
      <w:r w:rsidRPr="00505A8B">
        <w:rPr>
          <w:color w:val="000000" w:themeColor="text1"/>
        </w:rPr>
        <w:t>фиброгенного</w:t>
      </w:r>
      <w:proofErr w:type="spellEnd"/>
      <w:r w:rsidRPr="00505A8B">
        <w:rPr>
          <w:color w:val="000000" w:themeColor="text1"/>
        </w:rPr>
        <w:t xml:space="preserve"> действия (далее - АПФД) при ведении подземных работ в угольной промышленности осуществляется в зависимости от соотношения максимального значения фактической среднесменной концентрации АПФД в воздухе рабочей зоны и среднесменной концентрацией АПФД в зоне дыхания работника (</w:t>
      </w:r>
      <w:proofErr w:type="spellStart"/>
      <w:r w:rsidRPr="00505A8B">
        <w:rPr>
          <w:color w:val="000000" w:themeColor="text1"/>
        </w:rPr>
        <w:t>ПДКсс</w:t>
      </w:r>
      <w:proofErr w:type="spellEnd"/>
      <w:r w:rsidRPr="00505A8B">
        <w:rPr>
          <w:color w:val="000000" w:themeColor="text1"/>
        </w:rPr>
        <w:t xml:space="preserve">) в соответствии с </w:t>
      </w:r>
      <w:hyperlink r:id="rId14">
        <w:r w:rsidRPr="00505A8B">
          <w:rPr>
            <w:color w:val="000000" w:themeColor="text1"/>
          </w:rPr>
          <w:t>приложением N 3</w:t>
        </w:r>
      </w:hyperlink>
      <w:r w:rsidRPr="00505A8B">
        <w:rPr>
          <w:color w:val="000000" w:themeColor="text1"/>
        </w:rPr>
        <w:t xml:space="preserve"> к Методике проведения специальной</w:t>
      </w:r>
      <w:proofErr w:type="gramEnd"/>
      <w:r w:rsidRPr="00505A8B">
        <w:rPr>
          <w:color w:val="000000" w:themeColor="text1"/>
        </w:rPr>
        <w:t xml:space="preserve"> оценки условий труда.</w:t>
      </w:r>
    </w:p>
    <w:p w:rsidR="00505A8B" w:rsidRPr="00505A8B" w:rsidRDefault="00505A8B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505A8B">
        <w:rPr>
          <w:color w:val="000000" w:themeColor="text1"/>
        </w:rPr>
        <w:t>Максимальное значение фактической среднесменной концентрации АПФД в воздухе рабочей зоны определяется из сравнения результатов исследований (испытаний) и измерений АПФД, проведенных аккредитованной в соответствии с законодательством Российской Федерации об аккредитации в национальной системе аккредитации испытательной лабораторией (центром) при осуществлении организованного на данных рабочих местах производственного контроля за условиями труда, за последний год, и результатов исследований (испытаний) и измерений АПФД, полученных при</w:t>
      </w:r>
      <w:proofErr w:type="gramEnd"/>
      <w:r w:rsidRPr="00505A8B">
        <w:rPr>
          <w:color w:val="000000" w:themeColor="text1"/>
        </w:rPr>
        <w:t xml:space="preserve"> </w:t>
      </w:r>
      <w:proofErr w:type="gramStart"/>
      <w:r w:rsidRPr="00505A8B">
        <w:rPr>
          <w:color w:val="000000" w:themeColor="text1"/>
        </w:rPr>
        <w:t>проведении</w:t>
      </w:r>
      <w:proofErr w:type="gramEnd"/>
      <w:r w:rsidRPr="00505A8B">
        <w:rPr>
          <w:color w:val="000000" w:themeColor="text1"/>
        </w:rPr>
        <w:t xml:space="preserve"> специальной оценки условий труда.</w:t>
      </w:r>
    </w:p>
    <w:p w:rsidR="00505A8B" w:rsidRPr="00505A8B" w:rsidRDefault="00505A8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05A8B">
        <w:rPr>
          <w:color w:val="000000" w:themeColor="text1"/>
        </w:rPr>
        <w:t>При отсутствии указанных результатов производственного контроля условия труда на рабочих местах по фактору АПФД относятся к вредным условиям труда третьей степени.</w:t>
      </w:r>
    </w:p>
    <w:p w:rsidR="00505A8B" w:rsidRPr="00505A8B" w:rsidRDefault="00505A8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05A8B">
        <w:rPr>
          <w:color w:val="000000" w:themeColor="text1"/>
        </w:rPr>
        <w:t>6. Отнесение условий труда к классам (подклассам) условий труда на рабочих местах при воздействии световой среды осуществляется в следующем порядке:</w:t>
      </w:r>
    </w:p>
    <w:p w:rsidR="00505A8B" w:rsidRPr="00505A8B" w:rsidRDefault="00505A8B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505A8B">
        <w:rPr>
          <w:color w:val="000000" w:themeColor="text1"/>
        </w:rPr>
        <w:t xml:space="preserve">а) условия труда на рабочих местах, расположенных в подземных горных выработках и подземных помещениях угольных шахт, за исключением подземных здравпунктов, признаются вредными условиями труда 1 степени, если по результатам исследований (испытаний) и измерений значения показателей освещенности при непосредственном выполнении работ на таких рабочих местах, меньше или равны нормативному значению освещенности рабочей </w:t>
      </w:r>
      <w:r w:rsidRPr="00505A8B">
        <w:rPr>
          <w:color w:val="000000" w:themeColor="text1"/>
        </w:rPr>
        <w:lastRenderedPageBreak/>
        <w:t xml:space="preserve">поверхности для подземных работ (далее - </w:t>
      </w:r>
      <w:proofErr w:type="spellStart"/>
      <w:r w:rsidRPr="00505A8B">
        <w:rPr>
          <w:color w:val="000000" w:themeColor="text1"/>
        </w:rPr>
        <w:t>Ен</w:t>
      </w:r>
      <w:proofErr w:type="spellEnd"/>
      <w:r w:rsidRPr="00505A8B">
        <w:rPr>
          <w:color w:val="000000" w:themeColor="text1"/>
        </w:rPr>
        <w:t>), принимаемому равным 50</w:t>
      </w:r>
      <w:proofErr w:type="gramEnd"/>
      <w:r w:rsidRPr="00505A8B">
        <w:rPr>
          <w:color w:val="000000" w:themeColor="text1"/>
        </w:rPr>
        <w:t xml:space="preserve"> </w:t>
      </w:r>
      <w:proofErr w:type="spellStart"/>
      <w:r w:rsidRPr="00505A8B">
        <w:rPr>
          <w:color w:val="000000" w:themeColor="text1"/>
        </w:rPr>
        <w:t>лк</w:t>
      </w:r>
      <w:proofErr w:type="spellEnd"/>
      <w:r w:rsidRPr="00505A8B">
        <w:rPr>
          <w:color w:val="000000" w:themeColor="text1"/>
        </w:rPr>
        <w:t xml:space="preserve">, но больше или равны значениям, указанным в </w:t>
      </w:r>
      <w:hyperlink w:anchor="P90">
        <w:r w:rsidRPr="00505A8B">
          <w:rPr>
            <w:color w:val="000000" w:themeColor="text1"/>
          </w:rPr>
          <w:t>таблице 1</w:t>
        </w:r>
      </w:hyperlink>
      <w:r w:rsidRPr="00505A8B">
        <w:rPr>
          <w:color w:val="000000" w:themeColor="text1"/>
        </w:rPr>
        <w:t xml:space="preserve"> приложения к настоящим Особенностям;</w:t>
      </w:r>
    </w:p>
    <w:p w:rsidR="00505A8B" w:rsidRPr="00505A8B" w:rsidRDefault="00505A8B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505A8B">
        <w:rPr>
          <w:color w:val="000000" w:themeColor="text1"/>
        </w:rPr>
        <w:t xml:space="preserve">б) условия труда на рабочих местах, расположенных в подземных горных выработках и подземных помещениях угольных шахт, за исключением подземных здравпунктов, признаются вредными условиями труда 2 степени, если по результатам исследований (испытаний) и измерений значения показателей освещенности при непосредственном выполнении работ на таких рабочих местах ниже указанных в </w:t>
      </w:r>
      <w:hyperlink w:anchor="P90">
        <w:r w:rsidRPr="00505A8B">
          <w:rPr>
            <w:color w:val="000000" w:themeColor="text1"/>
          </w:rPr>
          <w:t>таблице 1</w:t>
        </w:r>
      </w:hyperlink>
      <w:r w:rsidRPr="00505A8B">
        <w:rPr>
          <w:color w:val="000000" w:themeColor="text1"/>
        </w:rPr>
        <w:t xml:space="preserve"> приложения к настоящим Особенностям или искусственное освещение на таких рабочих местах</w:t>
      </w:r>
      <w:proofErr w:type="gramEnd"/>
      <w:r w:rsidRPr="00505A8B">
        <w:rPr>
          <w:color w:val="000000" w:themeColor="text1"/>
        </w:rPr>
        <w:t xml:space="preserve"> отсутствует;</w:t>
      </w:r>
    </w:p>
    <w:p w:rsidR="00505A8B" w:rsidRPr="00505A8B" w:rsidRDefault="00505A8B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505A8B">
        <w:rPr>
          <w:color w:val="000000" w:themeColor="text1"/>
        </w:rPr>
        <w:t xml:space="preserve">в) условия труда на рабочих местах, расположенных в подземных горных выработках и подземных помещениях угольных шахт, за исключением подземных здравпунктов, признаются допустимыми условиями труда (класс 2), если по результатам исследований (испытаний) и измерений значения показателей освещенности при непосредственном выполнении работ на таких рабочих местах выше нормативного значения освещенности рабочей поверхности для подземных работ </w:t>
      </w:r>
      <w:proofErr w:type="spellStart"/>
      <w:r w:rsidRPr="00505A8B">
        <w:rPr>
          <w:color w:val="000000" w:themeColor="text1"/>
        </w:rPr>
        <w:t>Ен</w:t>
      </w:r>
      <w:proofErr w:type="spellEnd"/>
      <w:r w:rsidRPr="00505A8B">
        <w:rPr>
          <w:color w:val="000000" w:themeColor="text1"/>
        </w:rPr>
        <w:t>;</w:t>
      </w:r>
      <w:proofErr w:type="gramEnd"/>
    </w:p>
    <w:p w:rsidR="00505A8B" w:rsidRPr="00505A8B" w:rsidRDefault="00505A8B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505A8B">
        <w:rPr>
          <w:color w:val="000000" w:themeColor="text1"/>
        </w:rPr>
        <w:t xml:space="preserve">г) для подземных здравпунктов условия труда по параметрам световой среды признаются вредными условиями труда 1 степени, если по результатам исследований (испытаний) и измерений значения показателей освещенности при непосредственном выполнении работ на таких рабочих местах меньше или равны нормативному значению освещенности рабочей поверхности для подземных работ, указанному в </w:t>
      </w:r>
      <w:hyperlink w:anchor="P90">
        <w:r w:rsidRPr="00505A8B">
          <w:rPr>
            <w:color w:val="000000" w:themeColor="text1"/>
          </w:rPr>
          <w:t>таблице 1</w:t>
        </w:r>
      </w:hyperlink>
      <w:r w:rsidRPr="00505A8B">
        <w:rPr>
          <w:color w:val="000000" w:themeColor="text1"/>
        </w:rPr>
        <w:t xml:space="preserve"> приложения к настоящим Особенностям, допустимыми - при превышении данного значения, вредными условиями</w:t>
      </w:r>
      <w:proofErr w:type="gramEnd"/>
      <w:r w:rsidRPr="00505A8B">
        <w:rPr>
          <w:color w:val="000000" w:themeColor="text1"/>
        </w:rPr>
        <w:t xml:space="preserve"> труда 2 степени - при отсутствии искусственного освещения.</w:t>
      </w:r>
    </w:p>
    <w:p w:rsidR="00505A8B" w:rsidRPr="00505A8B" w:rsidRDefault="00505A8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05A8B">
        <w:rPr>
          <w:color w:val="000000" w:themeColor="text1"/>
        </w:rPr>
        <w:t xml:space="preserve">Итоговый класс (подкласс) условий труда при воздействии световой среды устанавливается по результатам исследований (испытаний) и измерений с учетом отсутствия в подземных горных выработках и подземных помещениях угольных шахт естественного освещения и проведения профилактических мероприятий по ультрафиолетовому облучению работников согласно </w:t>
      </w:r>
      <w:hyperlink w:anchor="P256">
        <w:r w:rsidRPr="00505A8B">
          <w:rPr>
            <w:color w:val="000000" w:themeColor="text1"/>
          </w:rPr>
          <w:t>таблице 5</w:t>
        </w:r>
      </w:hyperlink>
      <w:r w:rsidRPr="00505A8B">
        <w:rPr>
          <w:color w:val="000000" w:themeColor="text1"/>
        </w:rPr>
        <w:t xml:space="preserve"> приложения к настоящим Особенностям.</w:t>
      </w:r>
    </w:p>
    <w:p w:rsidR="00505A8B" w:rsidRPr="00505A8B" w:rsidRDefault="00505A8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05A8B">
        <w:rPr>
          <w:color w:val="000000" w:themeColor="text1"/>
        </w:rPr>
        <w:t>7. При отнесении условий труда к классам (подклассам) условий труда на рабочих местах в подземных горных выработках, а также в подземных помещениях при воздействии параметров микроклимата при ведении подземных работ в угольной промышленности учитывается следующее:</w:t>
      </w:r>
    </w:p>
    <w:p w:rsidR="00505A8B" w:rsidRPr="00505A8B" w:rsidRDefault="00505A8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05A8B">
        <w:rPr>
          <w:color w:val="000000" w:themeColor="text1"/>
        </w:rPr>
        <w:t xml:space="preserve">а) условия труда на рабочих местах, расположенных в подземных помещениях угольных шахт, признаются допустимыми условиями труда, если по результатам исследований (испытаний) и измерений значения параметров микроклимата соответствуют указанным в </w:t>
      </w:r>
      <w:hyperlink w:anchor="P161">
        <w:r w:rsidRPr="00505A8B">
          <w:rPr>
            <w:color w:val="000000" w:themeColor="text1"/>
          </w:rPr>
          <w:t>таблице 2</w:t>
        </w:r>
      </w:hyperlink>
      <w:r w:rsidRPr="00505A8B">
        <w:rPr>
          <w:color w:val="000000" w:themeColor="text1"/>
        </w:rPr>
        <w:t xml:space="preserve"> приложения к настоящим Особенностям, допустимым параметрам микроклимата;</w:t>
      </w:r>
    </w:p>
    <w:p w:rsidR="00505A8B" w:rsidRPr="00505A8B" w:rsidRDefault="00505A8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05A8B">
        <w:rPr>
          <w:color w:val="000000" w:themeColor="text1"/>
        </w:rPr>
        <w:t xml:space="preserve">б) при температуре воздуха на рабочих местах, расположенных в подземных помещениях угольных шахт, выше верхних границ температур, указанных в </w:t>
      </w:r>
      <w:hyperlink w:anchor="P161">
        <w:r w:rsidRPr="00505A8B">
          <w:rPr>
            <w:color w:val="000000" w:themeColor="text1"/>
          </w:rPr>
          <w:t>таблице 2</w:t>
        </w:r>
      </w:hyperlink>
      <w:r w:rsidRPr="00505A8B">
        <w:rPr>
          <w:color w:val="000000" w:themeColor="text1"/>
        </w:rPr>
        <w:t xml:space="preserve"> приложения к настоящим Особенностям, микроклимат следует оценивать как нагревающий. </w:t>
      </w:r>
      <w:proofErr w:type="gramStart"/>
      <w:r w:rsidRPr="00505A8B">
        <w:rPr>
          <w:color w:val="000000" w:themeColor="text1"/>
        </w:rPr>
        <w:t xml:space="preserve">Класс условий труда в этом случае устанавливается по индексу тепловой нагрузки среды (ТНС-индексу) в соответствии с </w:t>
      </w:r>
      <w:hyperlink w:anchor="P206">
        <w:r w:rsidRPr="00505A8B">
          <w:rPr>
            <w:color w:val="000000" w:themeColor="text1"/>
          </w:rPr>
          <w:t>таблицей 3</w:t>
        </w:r>
      </w:hyperlink>
      <w:r w:rsidRPr="00505A8B">
        <w:rPr>
          <w:color w:val="000000" w:themeColor="text1"/>
        </w:rPr>
        <w:t xml:space="preserve"> приложения к настоящим Особенностям;</w:t>
      </w:r>
      <w:proofErr w:type="gramEnd"/>
    </w:p>
    <w:p w:rsidR="00505A8B" w:rsidRPr="00505A8B" w:rsidRDefault="00505A8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05A8B">
        <w:rPr>
          <w:color w:val="000000" w:themeColor="text1"/>
        </w:rPr>
        <w:t xml:space="preserve">в) при температуре воздуха на рабочих местах, расположенных в подземных помещениях угольных шахт, ниже нижних границ температур, указанных в </w:t>
      </w:r>
      <w:hyperlink w:anchor="P161">
        <w:r w:rsidRPr="00505A8B">
          <w:rPr>
            <w:color w:val="000000" w:themeColor="text1"/>
          </w:rPr>
          <w:t>таблице 2</w:t>
        </w:r>
      </w:hyperlink>
      <w:r w:rsidRPr="00505A8B">
        <w:rPr>
          <w:color w:val="000000" w:themeColor="text1"/>
        </w:rPr>
        <w:t xml:space="preserve"> приложения к настоящим Особенностям, микроклимат следует оценивать как охлаждающий. Класс условий труда признается допустимым, если результаты исследований (испытаний) и измерений значения параметров микроклимата соответствуют данным </w:t>
      </w:r>
      <w:hyperlink w:anchor="P161">
        <w:r w:rsidRPr="00505A8B">
          <w:rPr>
            <w:color w:val="000000" w:themeColor="text1"/>
          </w:rPr>
          <w:t>таблицы 2</w:t>
        </w:r>
      </w:hyperlink>
      <w:r w:rsidRPr="00505A8B">
        <w:rPr>
          <w:color w:val="000000" w:themeColor="text1"/>
        </w:rPr>
        <w:t xml:space="preserve"> приложения к настоящим Особенностям, а в случае несоответствия указанным данным - вредными условиями труда 1 степени;</w:t>
      </w:r>
    </w:p>
    <w:p w:rsidR="00505A8B" w:rsidRPr="00505A8B" w:rsidRDefault="00505A8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05A8B">
        <w:rPr>
          <w:color w:val="000000" w:themeColor="text1"/>
        </w:rPr>
        <w:lastRenderedPageBreak/>
        <w:t xml:space="preserve">г) условия труда на рабочих местах, расположенных в подземных горных выработках угольных шахт, признаются допустимыми условиями труда, если по результатам исследований (испытаний) и измерений значения параметров микроклимата соответствуют указанным в </w:t>
      </w:r>
      <w:hyperlink w:anchor="P229">
        <w:r w:rsidRPr="00505A8B">
          <w:rPr>
            <w:color w:val="000000" w:themeColor="text1"/>
          </w:rPr>
          <w:t>таблице 4</w:t>
        </w:r>
      </w:hyperlink>
      <w:r w:rsidRPr="00505A8B">
        <w:rPr>
          <w:color w:val="000000" w:themeColor="text1"/>
        </w:rPr>
        <w:t xml:space="preserve"> приложения к настоящим Особенностям, допустимым параметрам микроклимата;</w:t>
      </w:r>
    </w:p>
    <w:p w:rsidR="00505A8B" w:rsidRPr="00505A8B" w:rsidRDefault="00505A8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05A8B">
        <w:rPr>
          <w:color w:val="000000" w:themeColor="text1"/>
        </w:rPr>
        <w:t xml:space="preserve">д) условия труда на рабочих местах, расположенных в подземных горных выработках угольных шахт, признаются вредными условиями труда 1 степени, если по результатам исследований (испытаний) и измерений значения параметров микроклимата не соответствуют значениям, указанным в </w:t>
      </w:r>
      <w:hyperlink w:anchor="P229">
        <w:r w:rsidRPr="00505A8B">
          <w:rPr>
            <w:color w:val="000000" w:themeColor="text1"/>
          </w:rPr>
          <w:t>таблице 4</w:t>
        </w:r>
      </w:hyperlink>
      <w:r w:rsidRPr="00505A8B">
        <w:rPr>
          <w:color w:val="000000" w:themeColor="text1"/>
        </w:rPr>
        <w:t xml:space="preserve"> приложения к настоящим Особенностям допустимым параметрам микроклимата;</w:t>
      </w:r>
    </w:p>
    <w:p w:rsidR="00505A8B" w:rsidRPr="00505A8B" w:rsidRDefault="00505A8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05A8B">
        <w:rPr>
          <w:color w:val="000000" w:themeColor="text1"/>
        </w:rPr>
        <w:t>е) при скорости движения воздуха более 4,0 м/</w:t>
      </w:r>
      <w:proofErr w:type="gramStart"/>
      <w:r w:rsidRPr="00505A8B">
        <w:rPr>
          <w:color w:val="000000" w:themeColor="text1"/>
        </w:rPr>
        <w:t>с</w:t>
      </w:r>
      <w:proofErr w:type="gramEnd"/>
      <w:r w:rsidRPr="00505A8B">
        <w:rPr>
          <w:color w:val="000000" w:themeColor="text1"/>
        </w:rPr>
        <w:t xml:space="preserve"> степень вредности условий труда следует увеличивать на одну степень;</w:t>
      </w:r>
    </w:p>
    <w:p w:rsidR="00505A8B" w:rsidRPr="00505A8B" w:rsidRDefault="00505A8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05A8B">
        <w:rPr>
          <w:color w:val="000000" w:themeColor="text1"/>
        </w:rPr>
        <w:t>ж) в случае, если в течение рабочей смены работник находится на рабочих местах, характеризующихся различным уровнем термического воздействия, класс условий труда определяется как средневзвешенная величина с учетом продолжительности пребывания на каждом рабочем месте.</w:t>
      </w:r>
    </w:p>
    <w:p w:rsidR="00505A8B" w:rsidRPr="00505A8B" w:rsidRDefault="00505A8B">
      <w:pPr>
        <w:pStyle w:val="ConsPlusNormal"/>
        <w:ind w:firstLine="540"/>
        <w:jc w:val="both"/>
        <w:rPr>
          <w:color w:val="000000" w:themeColor="text1"/>
        </w:rPr>
      </w:pPr>
    </w:p>
    <w:p w:rsidR="00505A8B" w:rsidRPr="00505A8B" w:rsidRDefault="00505A8B">
      <w:pPr>
        <w:pStyle w:val="ConsPlusNormal"/>
        <w:ind w:firstLine="540"/>
        <w:jc w:val="both"/>
        <w:rPr>
          <w:color w:val="000000" w:themeColor="text1"/>
        </w:rPr>
      </w:pPr>
    </w:p>
    <w:p w:rsidR="00505A8B" w:rsidRPr="00505A8B" w:rsidRDefault="00505A8B">
      <w:pPr>
        <w:pStyle w:val="ConsPlusNormal"/>
        <w:ind w:firstLine="540"/>
        <w:jc w:val="both"/>
        <w:rPr>
          <w:color w:val="000000" w:themeColor="text1"/>
        </w:rPr>
      </w:pPr>
    </w:p>
    <w:p w:rsidR="00505A8B" w:rsidRPr="00505A8B" w:rsidRDefault="00505A8B">
      <w:pPr>
        <w:pStyle w:val="ConsPlusNormal"/>
        <w:ind w:firstLine="540"/>
        <w:jc w:val="both"/>
        <w:rPr>
          <w:color w:val="000000" w:themeColor="text1"/>
        </w:rPr>
      </w:pPr>
    </w:p>
    <w:p w:rsidR="00505A8B" w:rsidRPr="00505A8B" w:rsidRDefault="00505A8B">
      <w:pPr>
        <w:pStyle w:val="ConsPlusNormal"/>
        <w:ind w:firstLine="540"/>
        <w:jc w:val="both"/>
        <w:rPr>
          <w:color w:val="000000" w:themeColor="text1"/>
        </w:rPr>
      </w:pPr>
    </w:p>
    <w:p w:rsidR="00505A8B" w:rsidRPr="00505A8B" w:rsidRDefault="00505A8B">
      <w:pPr>
        <w:pStyle w:val="ConsPlusNormal"/>
        <w:jc w:val="right"/>
        <w:outlineLvl w:val="1"/>
        <w:rPr>
          <w:color w:val="000000" w:themeColor="text1"/>
        </w:rPr>
      </w:pPr>
      <w:r w:rsidRPr="00505A8B">
        <w:rPr>
          <w:color w:val="000000" w:themeColor="text1"/>
        </w:rPr>
        <w:t>Приложение</w:t>
      </w:r>
    </w:p>
    <w:p w:rsidR="00505A8B" w:rsidRPr="00505A8B" w:rsidRDefault="00505A8B">
      <w:pPr>
        <w:pStyle w:val="ConsPlusNormal"/>
        <w:jc w:val="right"/>
        <w:rPr>
          <w:color w:val="000000" w:themeColor="text1"/>
        </w:rPr>
      </w:pPr>
      <w:r w:rsidRPr="00505A8B">
        <w:rPr>
          <w:color w:val="000000" w:themeColor="text1"/>
        </w:rPr>
        <w:t xml:space="preserve">к Особенностям проведения </w:t>
      </w:r>
      <w:proofErr w:type="gramStart"/>
      <w:r w:rsidRPr="00505A8B">
        <w:rPr>
          <w:color w:val="000000" w:themeColor="text1"/>
        </w:rPr>
        <w:t>специальной</w:t>
      </w:r>
      <w:proofErr w:type="gramEnd"/>
    </w:p>
    <w:p w:rsidR="00505A8B" w:rsidRPr="00505A8B" w:rsidRDefault="00505A8B">
      <w:pPr>
        <w:pStyle w:val="ConsPlusNormal"/>
        <w:jc w:val="right"/>
        <w:rPr>
          <w:color w:val="000000" w:themeColor="text1"/>
        </w:rPr>
      </w:pPr>
      <w:r w:rsidRPr="00505A8B">
        <w:rPr>
          <w:color w:val="000000" w:themeColor="text1"/>
        </w:rPr>
        <w:t>оценки условий труда на рабочих местах</w:t>
      </w:r>
    </w:p>
    <w:p w:rsidR="00505A8B" w:rsidRPr="00505A8B" w:rsidRDefault="00505A8B">
      <w:pPr>
        <w:pStyle w:val="ConsPlusNormal"/>
        <w:jc w:val="right"/>
        <w:rPr>
          <w:color w:val="000000" w:themeColor="text1"/>
        </w:rPr>
      </w:pPr>
      <w:r w:rsidRPr="00505A8B">
        <w:rPr>
          <w:color w:val="000000" w:themeColor="text1"/>
        </w:rPr>
        <w:t xml:space="preserve">работников, занятых </w:t>
      </w:r>
      <w:proofErr w:type="gramStart"/>
      <w:r w:rsidRPr="00505A8B">
        <w:rPr>
          <w:color w:val="000000" w:themeColor="text1"/>
        </w:rPr>
        <w:t>на</w:t>
      </w:r>
      <w:proofErr w:type="gramEnd"/>
      <w:r w:rsidRPr="00505A8B">
        <w:rPr>
          <w:color w:val="000000" w:themeColor="text1"/>
        </w:rPr>
        <w:t xml:space="preserve"> подземных</w:t>
      </w:r>
    </w:p>
    <w:p w:rsidR="00505A8B" w:rsidRPr="00505A8B" w:rsidRDefault="00505A8B">
      <w:pPr>
        <w:pStyle w:val="ConsPlusNormal"/>
        <w:jc w:val="right"/>
        <w:rPr>
          <w:color w:val="000000" w:themeColor="text1"/>
        </w:rPr>
      </w:pPr>
      <w:proofErr w:type="gramStart"/>
      <w:r w:rsidRPr="00505A8B">
        <w:rPr>
          <w:color w:val="000000" w:themeColor="text1"/>
        </w:rPr>
        <w:t>работах</w:t>
      </w:r>
      <w:proofErr w:type="gramEnd"/>
      <w:r w:rsidRPr="00505A8B">
        <w:rPr>
          <w:color w:val="000000" w:themeColor="text1"/>
        </w:rPr>
        <w:t>, утвержденным приказом</w:t>
      </w:r>
    </w:p>
    <w:p w:rsidR="00505A8B" w:rsidRPr="00505A8B" w:rsidRDefault="00505A8B">
      <w:pPr>
        <w:pStyle w:val="ConsPlusNormal"/>
        <w:jc w:val="right"/>
        <w:rPr>
          <w:color w:val="000000" w:themeColor="text1"/>
        </w:rPr>
      </w:pPr>
      <w:r w:rsidRPr="00505A8B">
        <w:rPr>
          <w:color w:val="000000" w:themeColor="text1"/>
        </w:rPr>
        <w:t xml:space="preserve">Министерства труда и </w:t>
      </w:r>
      <w:proofErr w:type="gramStart"/>
      <w:r w:rsidRPr="00505A8B">
        <w:rPr>
          <w:color w:val="000000" w:themeColor="text1"/>
        </w:rPr>
        <w:t>социальной</w:t>
      </w:r>
      <w:proofErr w:type="gramEnd"/>
    </w:p>
    <w:p w:rsidR="00505A8B" w:rsidRPr="00505A8B" w:rsidRDefault="00505A8B">
      <w:pPr>
        <w:pStyle w:val="ConsPlusNormal"/>
        <w:jc w:val="right"/>
        <w:rPr>
          <w:color w:val="000000" w:themeColor="text1"/>
        </w:rPr>
      </w:pPr>
      <w:r w:rsidRPr="00505A8B">
        <w:rPr>
          <w:color w:val="000000" w:themeColor="text1"/>
        </w:rPr>
        <w:t>защиты Российской Федерации</w:t>
      </w:r>
    </w:p>
    <w:p w:rsidR="00505A8B" w:rsidRPr="00505A8B" w:rsidRDefault="00505A8B">
      <w:pPr>
        <w:pStyle w:val="ConsPlusNormal"/>
        <w:jc w:val="right"/>
        <w:rPr>
          <w:color w:val="000000" w:themeColor="text1"/>
        </w:rPr>
      </w:pPr>
      <w:r w:rsidRPr="00505A8B">
        <w:rPr>
          <w:color w:val="000000" w:themeColor="text1"/>
        </w:rPr>
        <w:t>от 10 апреля 2025 г. N 198н</w:t>
      </w:r>
    </w:p>
    <w:p w:rsidR="00505A8B" w:rsidRPr="00505A8B" w:rsidRDefault="00505A8B">
      <w:pPr>
        <w:pStyle w:val="ConsPlusNormal"/>
        <w:jc w:val="right"/>
        <w:rPr>
          <w:color w:val="000000" w:themeColor="text1"/>
        </w:rPr>
      </w:pPr>
    </w:p>
    <w:p w:rsidR="00505A8B" w:rsidRPr="00505A8B" w:rsidRDefault="00505A8B">
      <w:pPr>
        <w:pStyle w:val="ConsPlusNormal"/>
        <w:jc w:val="right"/>
        <w:outlineLvl w:val="2"/>
        <w:rPr>
          <w:color w:val="000000" w:themeColor="text1"/>
        </w:rPr>
      </w:pPr>
      <w:r w:rsidRPr="00505A8B">
        <w:rPr>
          <w:color w:val="000000" w:themeColor="text1"/>
        </w:rPr>
        <w:t>Таблица 1</w:t>
      </w:r>
    </w:p>
    <w:p w:rsidR="00505A8B" w:rsidRPr="00505A8B" w:rsidRDefault="00505A8B">
      <w:pPr>
        <w:pStyle w:val="ConsPlusNormal"/>
        <w:jc w:val="right"/>
        <w:rPr>
          <w:color w:val="000000" w:themeColor="text1"/>
        </w:rPr>
      </w:pPr>
    </w:p>
    <w:p w:rsidR="00505A8B" w:rsidRPr="00505A8B" w:rsidRDefault="00505A8B">
      <w:pPr>
        <w:pStyle w:val="ConsPlusTitle"/>
        <w:jc w:val="center"/>
        <w:rPr>
          <w:color w:val="000000" w:themeColor="text1"/>
        </w:rPr>
      </w:pPr>
      <w:bookmarkStart w:id="2" w:name="P90"/>
      <w:bookmarkEnd w:id="2"/>
      <w:r w:rsidRPr="00505A8B">
        <w:rPr>
          <w:color w:val="000000" w:themeColor="text1"/>
        </w:rPr>
        <w:t>Минимальные значения освещенности от общего освещения</w:t>
      </w:r>
    </w:p>
    <w:p w:rsidR="00505A8B" w:rsidRPr="00505A8B" w:rsidRDefault="00505A8B">
      <w:pPr>
        <w:pStyle w:val="ConsPlusTitle"/>
        <w:jc w:val="center"/>
        <w:rPr>
          <w:color w:val="000000" w:themeColor="text1"/>
        </w:rPr>
      </w:pPr>
      <w:r w:rsidRPr="00505A8B">
        <w:rPr>
          <w:color w:val="000000" w:themeColor="text1"/>
        </w:rPr>
        <w:t>рабочей поверхности на рабочих местах работников, занятых</w:t>
      </w:r>
    </w:p>
    <w:p w:rsidR="00505A8B" w:rsidRPr="00505A8B" w:rsidRDefault="00505A8B">
      <w:pPr>
        <w:pStyle w:val="ConsPlusTitle"/>
        <w:jc w:val="center"/>
        <w:rPr>
          <w:color w:val="000000" w:themeColor="text1"/>
        </w:rPr>
      </w:pPr>
      <w:r w:rsidRPr="00505A8B">
        <w:rPr>
          <w:color w:val="000000" w:themeColor="text1"/>
        </w:rPr>
        <w:t xml:space="preserve">на подземных работах, расположенных </w:t>
      </w:r>
      <w:proofErr w:type="gramStart"/>
      <w:r w:rsidRPr="00505A8B">
        <w:rPr>
          <w:color w:val="000000" w:themeColor="text1"/>
        </w:rPr>
        <w:t>в</w:t>
      </w:r>
      <w:proofErr w:type="gramEnd"/>
      <w:r w:rsidRPr="00505A8B">
        <w:rPr>
          <w:color w:val="000000" w:themeColor="text1"/>
        </w:rPr>
        <w:t xml:space="preserve"> подземных горных</w:t>
      </w:r>
    </w:p>
    <w:p w:rsidR="00505A8B" w:rsidRPr="00505A8B" w:rsidRDefault="00505A8B">
      <w:pPr>
        <w:pStyle w:val="ConsPlusTitle"/>
        <w:jc w:val="center"/>
        <w:rPr>
          <w:color w:val="000000" w:themeColor="text1"/>
        </w:rPr>
      </w:pPr>
      <w:proofErr w:type="gramStart"/>
      <w:r w:rsidRPr="00505A8B">
        <w:rPr>
          <w:color w:val="000000" w:themeColor="text1"/>
        </w:rPr>
        <w:t>выработках</w:t>
      </w:r>
      <w:proofErr w:type="gramEnd"/>
      <w:r w:rsidRPr="00505A8B">
        <w:rPr>
          <w:color w:val="000000" w:themeColor="text1"/>
        </w:rPr>
        <w:t xml:space="preserve"> и подземных помещениях угольных шахт</w:t>
      </w:r>
    </w:p>
    <w:p w:rsidR="00505A8B" w:rsidRPr="00505A8B" w:rsidRDefault="00505A8B">
      <w:pPr>
        <w:pStyle w:val="ConsPlusNormal"/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5"/>
        <w:gridCol w:w="2630"/>
        <w:gridCol w:w="2190"/>
      </w:tblGrid>
      <w:tr w:rsidR="00505A8B" w:rsidRPr="00505A8B">
        <w:tc>
          <w:tcPr>
            <w:tcW w:w="4245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Участок выработки</w:t>
            </w:r>
          </w:p>
        </w:tc>
        <w:tc>
          <w:tcPr>
            <w:tcW w:w="2630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Плоскость, в которой нормируется освещенность рабочей поверхности</w:t>
            </w:r>
          </w:p>
        </w:tc>
        <w:tc>
          <w:tcPr>
            <w:tcW w:w="2190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 xml:space="preserve">Минимальная освещенность рабочей поверхности, </w:t>
            </w:r>
            <w:proofErr w:type="spellStart"/>
            <w:r w:rsidRPr="00505A8B">
              <w:rPr>
                <w:color w:val="000000" w:themeColor="text1"/>
              </w:rPr>
              <w:t>лк</w:t>
            </w:r>
            <w:proofErr w:type="spellEnd"/>
          </w:p>
        </w:tc>
      </w:tr>
      <w:tr w:rsidR="00505A8B" w:rsidRPr="00505A8B">
        <w:tc>
          <w:tcPr>
            <w:tcW w:w="4245" w:type="dxa"/>
            <w:vMerge w:val="restart"/>
            <w:vAlign w:val="center"/>
          </w:tcPr>
          <w:p w:rsidR="00505A8B" w:rsidRPr="00505A8B" w:rsidRDefault="00505A8B">
            <w:pPr>
              <w:pStyle w:val="ConsPlusNormal"/>
              <w:jc w:val="both"/>
              <w:rPr>
                <w:color w:val="000000" w:themeColor="text1"/>
              </w:rPr>
            </w:pPr>
            <w:proofErr w:type="spellStart"/>
            <w:r w:rsidRPr="00505A8B">
              <w:rPr>
                <w:color w:val="000000" w:themeColor="text1"/>
              </w:rPr>
              <w:t>Призабойное</w:t>
            </w:r>
            <w:proofErr w:type="spellEnd"/>
            <w:r w:rsidRPr="00505A8B">
              <w:rPr>
                <w:color w:val="000000" w:themeColor="text1"/>
              </w:rPr>
              <w:t xml:space="preserve"> пространство стволов при проходке</w:t>
            </w:r>
          </w:p>
        </w:tc>
        <w:tc>
          <w:tcPr>
            <w:tcW w:w="2630" w:type="dxa"/>
            <w:vAlign w:val="center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proofErr w:type="gramStart"/>
            <w:r w:rsidRPr="00505A8B">
              <w:rPr>
                <w:color w:val="000000" w:themeColor="text1"/>
              </w:rPr>
              <w:t>Горизонтальная</w:t>
            </w:r>
            <w:proofErr w:type="gramEnd"/>
            <w:r w:rsidRPr="00505A8B">
              <w:rPr>
                <w:color w:val="000000" w:themeColor="text1"/>
              </w:rPr>
              <w:t xml:space="preserve"> на забое</w:t>
            </w:r>
          </w:p>
        </w:tc>
        <w:tc>
          <w:tcPr>
            <w:tcW w:w="2190" w:type="dxa"/>
            <w:vAlign w:val="center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10</w:t>
            </w:r>
          </w:p>
        </w:tc>
      </w:tr>
      <w:tr w:rsidR="00505A8B" w:rsidRPr="00505A8B">
        <w:tc>
          <w:tcPr>
            <w:tcW w:w="4245" w:type="dxa"/>
            <w:vMerge/>
          </w:tcPr>
          <w:p w:rsidR="00505A8B" w:rsidRPr="00505A8B" w:rsidRDefault="00505A8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30" w:type="dxa"/>
            <w:vAlign w:val="center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proofErr w:type="gramStart"/>
            <w:r w:rsidRPr="00505A8B">
              <w:rPr>
                <w:color w:val="000000" w:themeColor="text1"/>
              </w:rPr>
              <w:t>Вертикальная</w:t>
            </w:r>
            <w:proofErr w:type="gramEnd"/>
            <w:r w:rsidRPr="00505A8B">
              <w:rPr>
                <w:color w:val="000000" w:themeColor="text1"/>
              </w:rPr>
              <w:t xml:space="preserve"> на боковой поверхности ствола на расстоянии не менее 5 м от забоя</w:t>
            </w:r>
          </w:p>
        </w:tc>
        <w:tc>
          <w:tcPr>
            <w:tcW w:w="2190" w:type="dxa"/>
            <w:vAlign w:val="center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5</w:t>
            </w:r>
          </w:p>
        </w:tc>
      </w:tr>
      <w:tr w:rsidR="00505A8B" w:rsidRPr="00505A8B">
        <w:tc>
          <w:tcPr>
            <w:tcW w:w="4245" w:type="dxa"/>
            <w:vAlign w:val="center"/>
          </w:tcPr>
          <w:p w:rsidR="00505A8B" w:rsidRPr="00505A8B" w:rsidRDefault="00505A8B">
            <w:pPr>
              <w:pStyle w:val="ConsPlusNormal"/>
              <w:jc w:val="both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Проходческие подвесные полки</w:t>
            </w:r>
          </w:p>
        </w:tc>
        <w:tc>
          <w:tcPr>
            <w:tcW w:w="2630" w:type="dxa"/>
            <w:vAlign w:val="center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proofErr w:type="gramStart"/>
            <w:r w:rsidRPr="00505A8B">
              <w:rPr>
                <w:color w:val="000000" w:themeColor="text1"/>
              </w:rPr>
              <w:t>Горизонтальная</w:t>
            </w:r>
            <w:proofErr w:type="gramEnd"/>
            <w:r w:rsidRPr="00505A8B">
              <w:rPr>
                <w:color w:val="000000" w:themeColor="text1"/>
              </w:rPr>
              <w:t xml:space="preserve"> на полке</w:t>
            </w:r>
          </w:p>
        </w:tc>
        <w:tc>
          <w:tcPr>
            <w:tcW w:w="2190" w:type="dxa"/>
            <w:vAlign w:val="center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5</w:t>
            </w:r>
          </w:p>
        </w:tc>
      </w:tr>
      <w:tr w:rsidR="00505A8B" w:rsidRPr="00505A8B">
        <w:tc>
          <w:tcPr>
            <w:tcW w:w="4245" w:type="dxa"/>
            <w:vAlign w:val="center"/>
          </w:tcPr>
          <w:p w:rsidR="00505A8B" w:rsidRPr="00505A8B" w:rsidRDefault="00505A8B">
            <w:pPr>
              <w:pStyle w:val="ConsPlusNormal"/>
              <w:jc w:val="both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 xml:space="preserve">Очистные выработки с </w:t>
            </w:r>
            <w:r w:rsidRPr="00505A8B">
              <w:rPr>
                <w:color w:val="000000" w:themeColor="text1"/>
              </w:rPr>
              <w:lastRenderedPageBreak/>
              <w:t>механизированными комплексами</w:t>
            </w:r>
          </w:p>
        </w:tc>
        <w:tc>
          <w:tcPr>
            <w:tcW w:w="2630" w:type="dxa"/>
            <w:vAlign w:val="center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proofErr w:type="gramStart"/>
            <w:r w:rsidRPr="00505A8B">
              <w:rPr>
                <w:color w:val="000000" w:themeColor="text1"/>
              </w:rPr>
              <w:lastRenderedPageBreak/>
              <w:t>Вертикальная</w:t>
            </w:r>
            <w:proofErr w:type="gramEnd"/>
            <w:r w:rsidRPr="00505A8B">
              <w:rPr>
                <w:color w:val="000000" w:themeColor="text1"/>
              </w:rPr>
              <w:t xml:space="preserve"> на груди </w:t>
            </w:r>
            <w:r w:rsidRPr="00505A8B">
              <w:rPr>
                <w:color w:val="000000" w:themeColor="text1"/>
              </w:rPr>
              <w:lastRenderedPageBreak/>
              <w:t>забоя и горизонтальная на почве</w:t>
            </w:r>
          </w:p>
        </w:tc>
        <w:tc>
          <w:tcPr>
            <w:tcW w:w="2190" w:type="dxa"/>
            <w:vAlign w:val="center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lastRenderedPageBreak/>
              <w:t>5</w:t>
            </w:r>
          </w:p>
        </w:tc>
      </w:tr>
      <w:tr w:rsidR="00505A8B" w:rsidRPr="00505A8B">
        <w:tc>
          <w:tcPr>
            <w:tcW w:w="4245" w:type="dxa"/>
            <w:vAlign w:val="center"/>
          </w:tcPr>
          <w:p w:rsidR="00505A8B" w:rsidRPr="00505A8B" w:rsidRDefault="00505A8B">
            <w:pPr>
              <w:pStyle w:val="ConsPlusNormal"/>
              <w:jc w:val="both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lastRenderedPageBreak/>
              <w:t>Участки выработки, где производятся перегрузка и погрузка угля (руды)</w:t>
            </w:r>
          </w:p>
        </w:tc>
        <w:tc>
          <w:tcPr>
            <w:tcW w:w="2630" w:type="dxa"/>
            <w:vAlign w:val="center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proofErr w:type="gramStart"/>
            <w:r w:rsidRPr="00505A8B">
              <w:rPr>
                <w:color w:val="000000" w:themeColor="text1"/>
              </w:rPr>
              <w:t>Горизонтальная</w:t>
            </w:r>
            <w:proofErr w:type="gramEnd"/>
            <w:r w:rsidRPr="00505A8B">
              <w:rPr>
                <w:color w:val="000000" w:themeColor="text1"/>
              </w:rPr>
              <w:t xml:space="preserve"> на уровне лотка конвейера</w:t>
            </w:r>
          </w:p>
        </w:tc>
        <w:tc>
          <w:tcPr>
            <w:tcW w:w="2190" w:type="dxa"/>
            <w:vAlign w:val="center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10</w:t>
            </w:r>
          </w:p>
        </w:tc>
      </w:tr>
      <w:tr w:rsidR="00505A8B" w:rsidRPr="00505A8B">
        <w:tc>
          <w:tcPr>
            <w:tcW w:w="4245" w:type="dxa"/>
            <w:vAlign w:val="center"/>
          </w:tcPr>
          <w:p w:rsidR="00505A8B" w:rsidRPr="00505A8B" w:rsidRDefault="00505A8B">
            <w:pPr>
              <w:pStyle w:val="ConsPlusNormal"/>
              <w:jc w:val="both"/>
              <w:rPr>
                <w:color w:val="000000" w:themeColor="text1"/>
              </w:rPr>
            </w:pPr>
            <w:proofErr w:type="spellStart"/>
            <w:r w:rsidRPr="00505A8B">
              <w:rPr>
                <w:color w:val="000000" w:themeColor="text1"/>
              </w:rPr>
              <w:t>Разминовки</w:t>
            </w:r>
            <w:proofErr w:type="spellEnd"/>
            <w:r w:rsidRPr="00505A8B">
              <w:rPr>
                <w:color w:val="000000" w:themeColor="text1"/>
              </w:rPr>
              <w:t xml:space="preserve"> в пределах околоствольных дворов, приемные площадки уклонов и бремсбергов, электромашинные установки, передвижные подстанции и </w:t>
            </w:r>
            <w:proofErr w:type="spellStart"/>
            <w:r w:rsidRPr="00505A8B">
              <w:rPr>
                <w:color w:val="000000" w:themeColor="text1"/>
              </w:rPr>
              <w:t>распредпунты</w:t>
            </w:r>
            <w:proofErr w:type="spellEnd"/>
            <w:r w:rsidRPr="00505A8B">
              <w:rPr>
                <w:color w:val="000000" w:themeColor="text1"/>
              </w:rPr>
              <w:t xml:space="preserve"> вне специальных камер</w:t>
            </w:r>
          </w:p>
        </w:tc>
        <w:tc>
          <w:tcPr>
            <w:tcW w:w="2630" w:type="dxa"/>
            <w:vAlign w:val="center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proofErr w:type="gramStart"/>
            <w:r w:rsidRPr="00505A8B">
              <w:rPr>
                <w:color w:val="000000" w:themeColor="text1"/>
              </w:rPr>
              <w:t>Горизонтальная</w:t>
            </w:r>
            <w:proofErr w:type="gramEnd"/>
            <w:r w:rsidRPr="00505A8B">
              <w:rPr>
                <w:color w:val="000000" w:themeColor="text1"/>
              </w:rPr>
              <w:t xml:space="preserve"> на почве</w:t>
            </w:r>
          </w:p>
        </w:tc>
        <w:tc>
          <w:tcPr>
            <w:tcW w:w="2190" w:type="dxa"/>
            <w:vAlign w:val="center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5</w:t>
            </w:r>
          </w:p>
        </w:tc>
      </w:tr>
      <w:tr w:rsidR="00505A8B" w:rsidRPr="00505A8B">
        <w:tc>
          <w:tcPr>
            <w:tcW w:w="4245" w:type="dxa"/>
            <w:vAlign w:val="center"/>
          </w:tcPr>
          <w:p w:rsidR="00505A8B" w:rsidRPr="00505A8B" w:rsidRDefault="00505A8B">
            <w:pPr>
              <w:pStyle w:val="ConsPlusNormal"/>
              <w:jc w:val="both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 xml:space="preserve">Откаточные штреки и квершлаги, </w:t>
            </w:r>
            <w:proofErr w:type="spellStart"/>
            <w:r w:rsidRPr="00505A8B">
              <w:rPr>
                <w:color w:val="000000" w:themeColor="text1"/>
              </w:rPr>
              <w:t>разминовки</w:t>
            </w:r>
            <w:proofErr w:type="spellEnd"/>
            <w:r w:rsidRPr="00505A8B">
              <w:rPr>
                <w:color w:val="000000" w:themeColor="text1"/>
              </w:rPr>
              <w:t xml:space="preserve"> на вспомогательных выработках, заезды, камеры ожидания, пункты посадки и выхода людей из поездов</w:t>
            </w:r>
          </w:p>
        </w:tc>
        <w:tc>
          <w:tcPr>
            <w:tcW w:w="2630" w:type="dxa"/>
            <w:vAlign w:val="center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proofErr w:type="gramStart"/>
            <w:r w:rsidRPr="00505A8B">
              <w:rPr>
                <w:color w:val="000000" w:themeColor="text1"/>
              </w:rPr>
              <w:t>Горизонтальная</w:t>
            </w:r>
            <w:proofErr w:type="gramEnd"/>
            <w:r w:rsidRPr="00505A8B">
              <w:rPr>
                <w:color w:val="000000" w:themeColor="text1"/>
              </w:rPr>
              <w:t xml:space="preserve"> на почве</w:t>
            </w:r>
          </w:p>
        </w:tc>
        <w:tc>
          <w:tcPr>
            <w:tcW w:w="2190" w:type="dxa"/>
            <w:vAlign w:val="center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2</w:t>
            </w:r>
          </w:p>
        </w:tc>
      </w:tr>
      <w:tr w:rsidR="00505A8B" w:rsidRPr="00505A8B">
        <w:tc>
          <w:tcPr>
            <w:tcW w:w="4245" w:type="dxa"/>
            <w:vAlign w:val="center"/>
          </w:tcPr>
          <w:p w:rsidR="00505A8B" w:rsidRPr="00505A8B" w:rsidRDefault="00505A8B">
            <w:pPr>
              <w:pStyle w:val="ConsPlusNormal"/>
              <w:jc w:val="both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Станции посадки и схода людей в транспортные средства (кроме поездов)</w:t>
            </w:r>
          </w:p>
        </w:tc>
        <w:tc>
          <w:tcPr>
            <w:tcW w:w="2630" w:type="dxa"/>
            <w:vAlign w:val="center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proofErr w:type="gramStart"/>
            <w:r w:rsidRPr="00505A8B">
              <w:rPr>
                <w:color w:val="000000" w:themeColor="text1"/>
              </w:rPr>
              <w:t>Горизонтальная</w:t>
            </w:r>
            <w:proofErr w:type="gramEnd"/>
            <w:r w:rsidRPr="00505A8B">
              <w:rPr>
                <w:color w:val="000000" w:themeColor="text1"/>
              </w:rPr>
              <w:t xml:space="preserve"> на почве</w:t>
            </w:r>
          </w:p>
        </w:tc>
        <w:tc>
          <w:tcPr>
            <w:tcW w:w="2190" w:type="dxa"/>
            <w:vAlign w:val="center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15</w:t>
            </w:r>
          </w:p>
        </w:tc>
      </w:tr>
      <w:tr w:rsidR="00505A8B" w:rsidRPr="00505A8B">
        <w:tc>
          <w:tcPr>
            <w:tcW w:w="4245" w:type="dxa"/>
            <w:vAlign w:val="center"/>
          </w:tcPr>
          <w:p w:rsidR="00505A8B" w:rsidRPr="00505A8B" w:rsidRDefault="00505A8B">
            <w:pPr>
              <w:pStyle w:val="ConsPlusNormal"/>
              <w:jc w:val="both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Уклоны и бремсберги для транспортировки грузов, выработки для перевозки людей механизированными транспортными средствами</w:t>
            </w:r>
          </w:p>
        </w:tc>
        <w:tc>
          <w:tcPr>
            <w:tcW w:w="2630" w:type="dxa"/>
            <w:vAlign w:val="center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proofErr w:type="gramStart"/>
            <w:r w:rsidRPr="00505A8B">
              <w:rPr>
                <w:color w:val="000000" w:themeColor="text1"/>
              </w:rPr>
              <w:t>Горизонтальная</w:t>
            </w:r>
            <w:proofErr w:type="gramEnd"/>
            <w:r w:rsidRPr="00505A8B">
              <w:rPr>
                <w:color w:val="000000" w:themeColor="text1"/>
              </w:rPr>
              <w:t xml:space="preserve"> на почве</w:t>
            </w:r>
          </w:p>
        </w:tc>
        <w:tc>
          <w:tcPr>
            <w:tcW w:w="2190" w:type="dxa"/>
            <w:vAlign w:val="center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2</w:t>
            </w:r>
          </w:p>
        </w:tc>
      </w:tr>
      <w:tr w:rsidR="00505A8B" w:rsidRPr="00505A8B">
        <w:tc>
          <w:tcPr>
            <w:tcW w:w="4245" w:type="dxa"/>
            <w:vMerge w:val="restart"/>
            <w:vAlign w:val="center"/>
          </w:tcPr>
          <w:p w:rsidR="00505A8B" w:rsidRPr="00505A8B" w:rsidRDefault="00505A8B">
            <w:pPr>
              <w:pStyle w:val="ConsPlusNormal"/>
              <w:jc w:val="both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Приемные площадки стволов</w:t>
            </w:r>
          </w:p>
        </w:tc>
        <w:tc>
          <w:tcPr>
            <w:tcW w:w="2630" w:type="dxa"/>
            <w:vAlign w:val="center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proofErr w:type="gramStart"/>
            <w:r w:rsidRPr="00505A8B">
              <w:rPr>
                <w:color w:val="000000" w:themeColor="text1"/>
              </w:rPr>
              <w:t>Горизонтальная</w:t>
            </w:r>
            <w:proofErr w:type="gramEnd"/>
            <w:r w:rsidRPr="00505A8B">
              <w:rPr>
                <w:color w:val="000000" w:themeColor="text1"/>
              </w:rPr>
              <w:t xml:space="preserve"> на почве</w:t>
            </w:r>
          </w:p>
        </w:tc>
        <w:tc>
          <w:tcPr>
            <w:tcW w:w="2190" w:type="dxa"/>
            <w:vAlign w:val="center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10</w:t>
            </w:r>
          </w:p>
        </w:tc>
      </w:tr>
      <w:tr w:rsidR="00505A8B" w:rsidRPr="00505A8B">
        <w:tc>
          <w:tcPr>
            <w:tcW w:w="4245" w:type="dxa"/>
            <w:vMerge/>
          </w:tcPr>
          <w:p w:rsidR="00505A8B" w:rsidRPr="00505A8B" w:rsidRDefault="00505A8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30" w:type="dxa"/>
            <w:vAlign w:val="center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proofErr w:type="gramStart"/>
            <w:r w:rsidRPr="00505A8B">
              <w:rPr>
                <w:color w:val="000000" w:themeColor="text1"/>
              </w:rPr>
              <w:t>Вертикальная</w:t>
            </w:r>
            <w:proofErr w:type="gramEnd"/>
            <w:r w:rsidRPr="00505A8B">
              <w:rPr>
                <w:color w:val="000000" w:themeColor="text1"/>
              </w:rPr>
              <w:t xml:space="preserve"> на сигнальных табло</w:t>
            </w:r>
          </w:p>
        </w:tc>
        <w:tc>
          <w:tcPr>
            <w:tcW w:w="2190" w:type="dxa"/>
            <w:vAlign w:val="center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20</w:t>
            </w:r>
          </w:p>
        </w:tc>
      </w:tr>
      <w:tr w:rsidR="00505A8B" w:rsidRPr="00505A8B">
        <w:tc>
          <w:tcPr>
            <w:tcW w:w="4245" w:type="dxa"/>
            <w:vAlign w:val="center"/>
          </w:tcPr>
          <w:p w:rsidR="00505A8B" w:rsidRPr="00505A8B" w:rsidRDefault="00505A8B">
            <w:pPr>
              <w:pStyle w:val="ConsPlusNormal"/>
              <w:jc w:val="both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 xml:space="preserve">Камеры </w:t>
            </w:r>
            <w:proofErr w:type="spellStart"/>
            <w:r w:rsidRPr="00505A8B">
              <w:rPr>
                <w:color w:val="000000" w:themeColor="text1"/>
              </w:rPr>
              <w:t>опрокидов</w:t>
            </w:r>
            <w:proofErr w:type="spellEnd"/>
            <w:r w:rsidRPr="00505A8B">
              <w:rPr>
                <w:color w:val="000000" w:themeColor="text1"/>
              </w:rPr>
              <w:t xml:space="preserve"> и разгрузки вагонеток (секционных поездов) в пределах околоствольных дворов</w:t>
            </w:r>
          </w:p>
        </w:tc>
        <w:tc>
          <w:tcPr>
            <w:tcW w:w="2630" w:type="dxa"/>
            <w:vAlign w:val="center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proofErr w:type="gramStart"/>
            <w:r w:rsidRPr="00505A8B">
              <w:rPr>
                <w:color w:val="000000" w:themeColor="text1"/>
              </w:rPr>
              <w:t>Горизонтальная</w:t>
            </w:r>
            <w:proofErr w:type="gramEnd"/>
            <w:r w:rsidRPr="00505A8B">
              <w:rPr>
                <w:color w:val="000000" w:themeColor="text1"/>
              </w:rPr>
              <w:t xml:space="preserve"> на уровне 0,8 м от почвы</w:t>
            </w:r>
          </w:p>
        </w:tc>
        <w:tc>
          <w:tcPr>
            <w:tcW w:w="2190" w:type="dxa"/>
            <w:vAlign w:val="center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10</w:t>
            </w:r>
          </w:p>
        </w:tc>
      </w:tr>
      <w:tr w:rsidR="00505A8B" w:rsidRPr="00505A8B">
        <w:tc>
          <w:tcPr>
            <w:tcW w:w="4245" w:type="dxa"/>
            <w:vMerge w:val="restart"/>
            <w:vAlign w:val="center"/>
          </w:tcPr>
          <w:p w:rsidR="00505A8B" w:rsidRPr="00505A8B" w:rsidRDefault="00505A8B">
            <w:pPr>
              <w:pStyle w:val="ConsPlusNormal"/>
              <w:jc w:val="both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Лебедочные камеры уклонов и бремсбергов</w:t>
            </w:r>
          </w:p>
        </w:tc>
        <w:tc>
          <w:tcPr>
            <w:tcW w:w="2630" w:type="dxa"/>
            <w:vAlign w:val="center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proofErr w:type="gramStart"/>
            <w:r w:rsidRPr="00505A8B">
              <w:rPr>
                <w:color w:val="000000" w:themeColor="text1"/>
              </w:rPr>
              <w:t>Горизонтальная</w:t>
            </w:r>
            <w:proofErr w:type="gramEnd"/>
            <w:r w:rsidRPr="00505A8B">
              <w:rPr>
                <w:color w:val="000000" w:themeColor="text1"/>
              </w:rPr>
              <w:t xml:space="preserve"> на уровне 0,5 м от почвы</w:t>
            </w:r>
          </w:p>
        </w:tc>
        <w:tc>
          <w:tcPr>
            <w:tcW w:w="2190" w:type="dxa"/>
            <w:vAlign w:val="center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10</w:t>
            </w:r>
          </w:p>
        </w:tc>
      </w:tr>
      <w:tr w:rsidR="00505A8B" w:rsidRPr="00505A8B">
        <w:tc>
          <w:tcPr>
            <w:tcW w:w="4245" w:type="dxa"/>
            <w:vMerge/>
          </w:tcPr>
          <w:p w:rsidR="00505A8B" w:rsidRPr="00505A8B" w:rsidRDefault="00505A8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30" w:type="dxa"/>
            <w:vAlign w:val="center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proofErr w:type="gramStart"/>
            <w:r w:rsidRPr="00505A8B">
              <w:rPr>
                <w:color w:val="000000" w:themeColor="text1"/>
              </w:rPr>
              <w:t>Вертикальная</w:t>
            </w:r>
            <w:proofErr w:type="gramEnd"/>
            <w:r w:rsidRPr="00505A8B">
              <w:rPr>
                <w:color w:val="000000" w:themeColor="text1"/>
              </w:rPr>
              <w:t xml:space="preserve"> на приборах</w:t>
            </w:r>
          </w:p>
        </w:tc>
        <w:tc>
          <w:tcPr>
            <w:tcW w:w="2190" w:type="dxa"/>
            <w:vAlign w:val="center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30</w:t>
            </w:r>
          </w:p>
        </w:tc>
      </w:tr>
      <w:tr w:rsidR="00505A8B" w:rsidRPr="00505A8B">
        <w:tc>
          <w:tcPr>
            <w:tcW w:w="4245" w:type="dxa"/>
            <w:vAlign w:val="center"/>
          </w:tcPr>
          <w:p w:rsidR="00505A8B" w:rsidRPr="00505A8B" w:rsidRDefault="00505A8B">
            <w:pPr>
              <w:pStyle w:val="ConsPlusNormal"/>
              <w:jc w:val="both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Камеры центральных подземных подстанций и водоотливов</w:t>
            </w:r>
          </w:p>
        </w:tc>
        <w:tc>
          <w:tcPr>
            <w:tcW w:w="2630" w:type="dxa"/>
            <w:vAlign w:val="center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proofErr w:type="gramStart"/>
            <w:r w:rsidRPr="00505A8B">
              <w:rPr>
                <w:color w:val="000000" w:themeColor="text1"/>
              </w:rPr>
              <w:t>Горизонтальная</w:t>
            </w:r>
            <w:proofErr w:type="gramEnd"/>
            <w:r w:rsidRPr="00505A8B">
              <w:rPr>
                <w:color w:val="000000" w:themeColor="text1"/>
              </w:rPr>
              <w:t xml:space="preserve"> на уровне 0,8 м от почвы</w:t>
            </w:r>
          </w:p>
        </w:tc>
        <w:tc>
          <w:tcPr>
            <w:tcW w:w="2190" w:type="dxa"/>
            <w:vAlign w:val="center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10</w:t>
            </w:r>
          </w:p>
        </w:tc>
      </w:tr>
      <w:tr w:rsidR="00505A8B" w:rsidRPr="00505A8B">
        <w:tc>
          <w:tcPr>
            <w:tcW w:w="4245" w:type="dxa"/>
            <w:vMerge w:val="restart"/>
            <w:vAlign w:val="center"/>
          </w:tcPr>
          <w:p w:rsidR="00505A8B" w:rsidRPr="00505A8B" w:rsidRDefault="00505A8B">
            <w:pPr>
              <w:pStyle w:val="ConsPlusNormal"/>
              <w:jc w:val="both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Локомотивные гаражи, зарядные камеры, склады горюче-смазочных материалов, заправочные пункты</w:t>
            </w:r>
          </w:p>
        </w:tc>
        <w:tc>
          <w:tcPr>
            <w:tcW w:w="2630" w:type="dxa"/>
            <w:vAlign w:val="center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proofErr w:type="gramStart"/>
            <w:r w:rsidRPr="00505A8B">
              <w:rPr>
                <w:color w:val="000000" w:themeColor="text1"/>
              </w:rPr>
              <w:t>Горизонтальная</w:t>
            </w:r>
            <w:proofErr w:type="gramEnd"/>
            <w:r w:rsidRPr="00505A8B">
              <w:rPr>
                <w:color w:val="000000" w:themeColor="text1"/>
              </w:rPr>
              <w:t xml:space="preserve"> на уровне 0,8 м от почвы</w:t>
            </w:r>
          </w:p>
        </w:tc>
        <w:tc>
          <w:tcPr>
            <w:tcW w:w="2190" w:type="dxa"/>
            <w:vAlign w:val="center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10</w:t>
            </w:r>
          </w:p>
        </w:tc>
      </w:tr>
      <w:tr w:rsidR="00505A8B" w:rsidRPr="00505A8B">
        <w:tc>
          <w:tcPr>
            <w:tcW w:w="4245" w:type="dxa"/>
            <w:vMerge/>
          </w:tcPr>
          <w:p w:rsidR="00505A8B" w:rsidRPr="00505A8B" w:rsidRDefault="00505A8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30" w:type="dxa"/>
            <w:vAlign w:val="center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proofErr w:type="gramStart"/>
            <w:r w:rsidRPr="00505A8B">
              <w:rPr>
                <w:color w:val="000000" w:themeColor="text1"/>
              </w:rPr>
              <w:t>Горизонтальная</w:t>
            </w:r>
            <w:proofErr w:type="gramEnd"/>
            <w:r w:rsidRPr="00505A8B">
              <w:rPr>
                <w:color w:val="000000" w:themeColor="text1"/>
              </w:rPr>
              <w:t xml:space="preserve"> на верстаках</w:t>
            </w:r>
          </w:p>
        </w:tc>
        <w:tc>
          <w:tcPr>
            <w:tcW w:w="2190" w:type="dxa"/>
            <w:vAlign w:val="center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20</w:t>
            </w:r>
          </w:p>
        </w:tc>
      </w:tr>
      <w:tr w:rsidR="00505A8B" w:rsidRPr="00505A8B">
        <w:tc>
          <w:tcPr>
            <w:tcW w:w="4245" w:type="dxa"/>
            <w:vMerge w:val="restart"/>
            <w:vAlign w:val="center"/>
          </w:tcPr>
          <w:p w:rsidR="00505A8B" w:rsidRPr="00505A8B" w:rsidRDefault="00505A8B">
            <w:pPr>
              <w:pStyle w:val="ConsPlusNormal"/>
              <w:jc w:val="both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Диспетчерские пункты</w:t>
            </w:r>
          </w:p>
        </w:tc>
        <w:tc>
          <w:tcPr>
            <w:tcW w:w="2630" w:type="dxa"/>
            <w:vAlign w:val="center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proofErr w:type="gramStart"/>
            <w:r w:rsidRPr="00505A8B">
              <w:rPr>
                <w:color w:val="000000" w:themeColor="text1"/>
              </w:rPr>
              <w:t>Горизонтальная</w:t>
            </w:r>
            <w:proofErr w:type="gramEnd"/>
            <w:r w:rsidRPr="00505A8B">
              <w:rPr>
                <w:color w:val="000000" w:themeColor="text1"/>
              </w:rPr>
              <w:t xml:space="preserve"> на уровне 0,8 м от почвы</w:t>
            </w:r>
          </w:p>
        </w:tc>
        <w:tc>
          <w:tcPr>
            <w:tcW w:w="2190" w:type="dxa"/>
            <w:vAlign w:val="center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10</w:t>
            </w:r>
          </w:p>
        </w:tc>
      </w:tr>
      <w:tr w:rsidR="00505A8B" w:rsidRPr="00505A8B">
        <w:tc>
          <w:tcPr>
            <w:tcW w:w="4245" w:type="dxa"/>
            <w:vMerge/>
          </w:tcPr>
          <w:p w:rsidR="00505A8B" w:rsidRPr="00505A8B" w:rsidRDefault="00505A8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30" w:type="dxa"/>
            <w:vAlign w:val="center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proofErr w:type="gramStart"/>
            <w:r w:rsidRPr="00505A8B">
              <w:rPr>
                <w:color w:val="000000" w:themeColor="text1"/>
              </w:rPr>
              <w:t>Вертикальная</w:t>
            </w:r>
            <w:proofErr w:type="gramEnd"/>
            <w:r w:rsidRPr="00505A8B">
              <w:rPr>
                <w:color w:val="000000" w:themeColor="text1"/>
              </w:rPr>
              <w:t xml:space="preserve"> на шкале приборов</w:t>
            </w:r>
          </w:p>
        </w:tc>
        <w:tc>
          <w:tcPr>
            <w:tcW w:w="2190" w:type="dxa"/>
            <w:vAlign w:val="center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30</w:t>
            </w:r>
          </w:p>
        </w:tc>
      </w:tr>
      <w:tr w:rsidR="00505A8B" w:rsidRPr="00505A8B">
        <w:tc>
          <w:tcPr>
            <w:tcW w:w="4245" w:type="dxa"/>
            <w:vAlign w:val="center"/>
          </w:tcPr>
          <w:p w:rsidR="00505A8B" w:rsidRPr="00505A8B" w:rsidRDefault="00505A8B">
            <w:pPr>
              <w:pStyle w:val="ConsPlusNormal"/>
              <w:jc w:val="both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lastRenderedPageBreak/>
              <w:t>Подземные здравпункты</w:t>
            </w:r>
          </w:p>
        </w:tc>
        <w:tc>
          <w:tcPr>
            <w:tcW w:w="2630" w:type="dxa"/>
            <w:vAlign w:val="center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proofErr w:type="gramStart"/>
            <w:r w:rsidRPr="00505A8B">
              <w:rPr>
                <w:color w:val="000000" w:themeColor="text1"/>
              </w:rPr>
              <w:t>Горизонтальная</w:t>
            </w:r>
            <w:proofErr w:type="gramEnd"/>
            <w:r w:rsidRPr="00505A8B">
              <w:rPr>
                <w:color w:val="000000" w:themeColor="text1"/>
              </w:rPr>
              <w:t xml:space="preserve"> на уровне 0,8 м от почвы</w:t>
            </w:r>
          </w:p>
        </w:tc>
        <w:tc>
          <w:tcPr>
            <w:tcW w:w="2190" w:type="dxa"/>
            <w:vAlign w:val="center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100</w:t>
            </w:r>
          </w:p>
        </w:tc>
      </w:tr>
      <w:tr w:rsidR="00505A8B" w:rsidRPr="00505A8B">
        <w:tc>
          <w:tcPr>
            <w:tcW w:w="4245" w:type="dxa"/>
            <w:vMerge w:val="restart"/>
            <w:vAlign w:val="center"/>
          </w:tcPr>
          <w:p w:rsidR="00505A8B" w:rsidRPr="00505A8B" w:rsidRDefault="00505A8B">
            <w:pPr>
              <w:pStyle w:val="ConsPlusNormal"/>
              <w:jc w:val="both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Раздаточные камеры складов взрывных материалов</w:t>
            </w:r>
          </w:p>
        </w:tc>
        <w:tc>
          <w:tcPr>
            <w:tcW w:w="2630" w:type="dxa"/>
            <w:vAlign w:val="center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proofErr w:type="gramStart"/>
            <w:r w:rsidRPr="00505A8B">
              <w:rPr>
                <w:color w:val="000000" w:themeColor="text1"/>
              </w:rPr>
              <w:t>Горизонтальная</w:t>
            </w:r>
            <w:proofErr w:type="gramEnd"/>
            <w:r w:rsidRPr="00505A8B">
              <w:rPr>
                <w:color w:val="000000" w:themeColor="text1"/>
              </w:rPr>
              <w:t xml:space="preserve"> на уровне 0,8 м от почвы</w:t>
            </w:r>
          </w:p>
        </w:tc>
        <w:tc>
          <w:tcPr>
            <w:tcW w:w="2190" w:type="dxa"/>
            <w:vAlign w:val="center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10</w:t>
            </w:r>
          </w:p>
        </w:tc>
      </w:tr>
      <w:tr w:rsidR="00505A8B" w:rsidRPr="00505A8B">
        <w:tc>
          <w:tcPr>
            <w:tcW w:w="4245" w:type="dxa"/>
            <w:vMerge/>
          </w:tcPr>
          <w:p w:rsidR="00505A8B" w:rsidRPr="00505A8B" w:rsidRDefault="00505A8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30" w:type="dxa"/>
            <w:vAlign w:val="center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proofErr w:type="gramStart"/>
            <w:r w:rsidRPr="00505A8B">
              <w:rPr>
                <w:color w:val="000000" w:themeColor="text1"/>
              </w:rPr>
              <w:t>Горизонтальная</w:t>
            </w:r>
            <w:proofErr w:type="gramEnd"/>
            <w:r w:rsidRPr="00505A8B">
              <w:rPr>
                <w:color w:val="000000" w:themeColor="text1"/>
              </w:rPr>
              <w:t xml:space="preserve"> на рабочем столе</w:t>
            </w:r>
          </w:p>
        </w:tc>
        <w:tc>
          <w:tcPr>
            <w:tcW w:w="2190" w:type="dxa"/>
            <w:vAlign w:val="center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30</w:t>
            </w:r>
          </w:p>
        </w:tc>
      </w:tr>
    </w:tbl>
    <w:p w:rsidR="00505A8B" w:rsidRPr="00505A8B" w:rsidRDefault="00505A8B">
      <w:pPr>
        <w:pStyle w:val="ConsPlusNormal"/>
        <w:ind w:firstLine="540"/>
        <w:jc w:val="both"/>
        <w:rPr>
          <w:color w:val="000000" w:themeColor="text1"/>
        </w:rPr>
      </w:pPr>
    </w:p>
    <w:p w:rsidR="00505A8B" w:rsidRPr="00505A8B" w:rsidRDefault="00505A8B">
      <w:pPr>
        <w:pStyle w:val="ConsPlusNormal"/>
        <w:jc w:val="right"/>
        <w:outlineLvl w:val="2"/>
        <w:rPr>
          <w:color w:val="000000" w:themeColor="text1"/>
        </w:rPr>
      </w:pPr>
      <w:r w:rsidRPr="00505A8B">
        <w:rPr>
          <w:color w:val="000000" w:themeColor="text1"/>
        </w:rPr>
        <w:t>Таблица 2</w:t>
      </w:r>
    </w:p>
    <w:p w:rsidR="00505A8B" w:rsidRPr="00505A8B" w:rsidRDefault="00505A8B">
      <w:pPr>
        <w:pStyle w:val="ConsPlusNormal"/>
        <w:jc w:val="right"/>
        <w:rPr>
          <w:color w:val="000000" w:themeColor="text1"/>
        </w:rPr>
      </w:pPr>
    </w:p>
    <w:p w:rsidR="00505A8B" w:rsidRPr="00505A8B" w:rsidRDefault="00505A8B">
      <w:pPr>
        <w:pStyle w:val="ConsPlusTitle"/>
        <w:jc w:val="center"/>
        <w:rPr>
          <w:color w:val="000000" w:themeColor="text1"/>
        </w:rPr>
      </w:pPr>
      <w:bookmarkStart w:id="3" w:name="P161"/>
      <w:bookmarkEnd w:id="3"/>
      <w:r w:rsidRPr="00505A8B">
        <w:rPr>
          <w:color w:val="000000" w:themeColor="text1"/>
        </w:rPr>
        <w:t>Допустимые параметры микроклимата на рабочих местах</w:t>
      </w:r>
    </w:p>
    <w:p w:rsidR="00505A8B" w:rsidRPr="00505A8B" w:rsidRDefault="00505A8B">
      <w:pPr>
        <w:pStyle w:val="ConsPlusTitle"/>
        <w:jc w:val="center"/>
        <w:rPr>
          <w:color w:val="000000" w:themeColor="text1"/>
        </w:rPr>
      </w:pPr>
      <w:r w:rsidRPr="00505A8B">
        <w:rPr>
          <w:color w:val="000000" w:themeColor="text1"/>
        </w:rPr>
        <w:t>работников, занятых на подземных работах, расположенных</w:t>
      </w:r>
    </w:p>
    <w:p w:rsidR="00505A8B" w:rsidRPr="00505A8B" w:rsidRDefault="00505A8B">
      <w:pPr>
        <w:pStyle w:val="ConsPlusTitle"/>
        <w:jc w:val="center"/>
        <w:rPr>
          <w:color w:val="000000" w:themeColor="text1"/>
        </w:rPr>
      </w:pPr>
      <w:r w:rsidRPr="00505A8B">
        <w:rPr>
          <w:color w:val="000000" w:themeColor="text1"/>
        </w:rPr>
        <w:t>в подземных помещениях угольных шахт</w:t>
      </w:r>
    </w:p>
    <w:p w:rsidR="00505A8B" w:rsidRPr="00505A8B" w:rsidRDefault="00505A8B">
      <w:pPr>
        <w:pStyle w:val="ConsPlusNormal"/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26"/>
        <w:gridCol w:w="1444"/>
        <w:gridCol w:w="1560"/>
        <w:gridCol w:w="1380"/>
        <w:gridCol w:w="1589"/>
        <w:gridCol w:w="1570"/>
      </w:tblGrid>
      <w:tr w:rsidR="00505A8B" w:rsidRPr="00505A8B">
        <w:tc>
          <w:tcPr>
            <w:tcW w:w="1526" w:type="dxa"/>
            <w:vMerge w:val="restart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 xml:space="preserve">Категория работ по уровню </w:t>
            </w:r>
            <w:proofErr w:type="spellStart"/>
            <w:r w:rsidRPr="00505A8B">
              <w:rPr>
                <w:color w:val="000000" w:themeColor="text1"/>
              </w:rPr>
              <w:t>энерготрат</w:t>
            </w:r>
            <w:proofErr w:type="spellEnd"/>
            <w:r w:rsidRPr="00505A8B">
              <w:rPr>
                <w:color w:val="000000" w:themeColor="text1"/>
              </w:rPr>
              <w:t>, Вт</w:t>
            </w:r>
          </w:p>
        </w:tc>
        <w:tc>
          <w:tcPr>
            <w:tcW w:w="3004" w:type="dxa"/>
            <w:gridSpan w:val="2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Допустимые уровни температуры воздуха, °C</w:t>
            </w:r>
          </w:p>
        </w:tc>
        <w:tc>
          <w:tcPr>
            <w:tcW w:w="1380" w:type="dxa"/>
            <w:vMerge w:val="restart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Относительная влажность воздуха, %</w:t>
            </w:r>
          </w:p>
        </w:tc>
        <w:tc>
          <w:tcPr>
            <w:tcW w:w="3159" w:type="dxa"/>
            <w:gridSpan w:val="2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Скорость движения воздуха, м/</w:t>
            </w:r>
            <w:proofErr w:type="gramStart"/>
            <w:r w:rsidRPr="00505A8B">
              <w:rPr>
                <w:color w:val="000000" w:themeColor="text1"/>
              </w:rPr>
              <w:t>с</w:t>
            </w:r>
            <w:proofErr w:type="gramEnd"/>
          </w:p>
        </w:tc>
      </w:tr>
      <w:tr w:rsidR="00505A8B" w:rsidRPr="00505A8B">
        <w:tc>
          <w:tcPr>
            <w:tcW w:w="1526" w:type="dxa"/>
            <w:vMerge/>
          </w:tcPr>
          <w:p w:rsidR="00505A8B" w:rsidRPr="00505A8B" w:rsidRDefault="00505A8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44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ниже оптимальных величин</w:t>
            </w:r>
          </w:p>
        </w:tc>
        <w:tc>
          <w:tcPr>
            <w:tcW w:w="1560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выше оптимальных величин</w:t>
            </w:r>
          </w:p>
        </w:tc>
        <w:tc>
          <w:tcPr>
            <w:tcW w:w="1380" w:type="dxa"/>
            <w:vMerge/>
          </w:tcPr>
          <w:p w:rsidR="00505A8B" w:rsidRPr="00505A8B" w:rsidRDefault="00505A8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9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для диапазона температур воздуха ниже оптимальных величин, не более</w:t>
            </w:r>
          </w:p>
        </w:tc>
        <w:tc>
          <w:tcPr>
            <w:tcW w:w="1570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для диапазона температур воздуха выше оптимальных величин, не более</w:t>
            </w:r>
          </w:p>
        </w:tc>
      </w:tr>
      <w:tr w:rsidR="00505A8B" w:rsidRPr="00505A8B">
        <w:tc>
          <w:tcPr>
            <w:tcW w:w="1526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505A8B">
              <w:rPr>
                <w:color w:val="000000" w:themeColor="text1"/>
              </w:rPr>
              <w:t>I</w:t>
            </w:r>
            <w:proofErr w:type="gramEnd"/>
            <w:r w:rsidRPr="00505A8B">
              <w:rPr>
                <w:color w:val="000000" w:themeColor="text1"/>
              </w:rPr>
              <w:t>а</w:t>
            </w:r>
            <w:proofErr w:type="spellEnd"/>
            <w:r w:rsidRPr="00505A8B">
              <w:rPr>
                <w:color w:val="000000" w:themeColor="text1"/>
              </w:rPr>
              <w:t xml:space="preserve"> (до 139)</w:t>
            </w:r>
          </w:p>
        </w:tc>
        <w:tc>
          <w:tcPr>
            <w:tcW w:w="1444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20,0 - 21,9</w:t>
            </w:r>
          </w:p>
        </w:tc>
        <w:tc>
          <w:tcPr>
            <w:tcW w:w="1560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25,1 - 28,0</w:t>
            </w:r>
          </w:p>
        </w:tc>
        <w:tc>
          <w:tcPr>
            <w:tcW w:w="1380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15 - 75</w:t>
            </w:r>
          </w:p>
        </w:tc>
        <w:tc>
          <w:tcPr>
            <w:tcW w:w="1589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0,1</w:t>
            </w:r>
          </w:p>
        </w:tc>
        <w:tc>
          <w:tcPr>
            <w:tcW w:w="1570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од</w:t>
            </w:r>
          </w:p>
        </w:tc>
      </w:tr>
      <w:tr w:rsidR="00505A8B" w:rsidRPr="00505A8B">
        <w:tc>
          <w:tcPr>
            <w:tcW w:w="1526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505A8B">
              <w:rPr>
                <w:color w:val="000000" w:themeColor="text1"/>
              </w:rPr>
              <w:t>I</w:t>
            </w:r>
            <w:proofErr w:type="gramEnd"/>
            <w:r w:rsidRPr="00505A8B">
              <w:rPr>
                <w:color w:val="000000" w:themeColor="text1"/>
              </w:rPr>
              <w:t>б</w:t>
            </w:r>
            <w:proofErr w:type="spellEnd"/>
            <w:r w:rsidRPr="00505A8B">
              <w:rPr>
                <w:color w:val="000000" w:themeColor="text1"/>
              </w:rPr>
              <w:t xml:space="preserve"> (140 - 174)</w:t>
            </w:r>
          </w:p>
        </w:tc>
        <w:tc>
          <w:tcPr>
            <w:tcW w:w="1444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19,0 - 20,9</w:t>
            </w:r>
          </w:p>
        </w:tc>
        <w:tc>
          <w:tcPr>
            <w:tcW w:w="1560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24,1 - 27,0</w:t>
            </w:r>
          </w:p>
        </w:tc>
        <w:tc>
          <w:tcPr>
            <w:tcW w:w="1380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15 - 75</w:t>
            </w:r>
          </w:p>
        </w:tc>
        <w:tc>
          <w:tcPr>
            <w:tcW w:w="1589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0,1</w:t>
            </w:r>
          </w:p>
        </w:tc>
        <w:tc>
          <w:tcPr>
            <w:tcW w:w="1570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0,2</w:t>
            </w:r>
          </w:p>
        </w:tc>
      </w:tr>
      <w:tr w:rsidR="00505A8B" w:rsidRPr="00505A8B">
        <w:tc>
          <w:tcPr>
            <w:tcW w:w="1526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proofErr w:type="spellStart"/>
            <w:r w:rsidRPr="00505A8B">
              <w:rPr>
                <w:color w:val="000000" w:themeColor="text1"/>
              </w:rPr>
              <w:t>II</w:t>
            </w:r>
            <w:proofErr w:type="gramStart"/>
            <w:r w:rsidRPr="00505A8B">
              <w:rPr>
                <w:color w:val="000000" w:themeColor="text1"/>
              </w:rPr>
              <w:t>а</w:t>
            </w:r>
            <w:proofErr w:type="spellEnd"/>
            <w:proofErr w:type="gramEnd"/>
            <w:r w:rsidRPr="00505A8B">
              <w:rPr>
                <w:color w:val="000000" w:themeColor="text1"/>
              </w:rPr>
              <w:t xml:space="preserve"> (175 - 232)</w:t>
            </w:r>
          </w:p>
        </w:tc>
        <w:tc>
          <w:tcPr>
            <w:tcW w:w="1444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17,0 - 18,9</w:t>
            </w:r>
          </w:p>
        </w:tc>
        <w:tc>
          <w:tcPr>
            <w:tcW w:w="1560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21,1 - 26,0</w:t>
            </w:r>
          </w:p>
        </w:tc>
        <w:tc>
          <w:tcPr>
            <w:tcW w:w="1380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15 - 75</w:t>
            </w:r>
          </w:p>
        </w:tc>
        <w:tc>
          <w:tcPr>
            <w:tcW w:w="1589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0,1</w:t>
            </w:r>
          </w:p>
        </w:tc>
        <w:tc>
          <w:tcPr>
            <w:tcW w:w="1570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0,3</w:t>
            </w:r>
          </w:p>
        </w:tc>
      </w:tr>
      <w:tr w:rsidR="00505A8B" w:rsidRPr="00505A8B">
        <w:tc>
          <w:tcPr>
            <w:tcW w:w="1526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proofErr w:type="spellStart"/>
            <w:r w:rsidRPr="00505A8B">
              <w:rPr>
                <w:color w:val="000000" w:themeColor="text1"/>
              </w:rPr>
              <w:t>II</w:t>
            </w:r>
            <w:proofErr w:type="gramStart"/>
            <w:r w:rsidRPr="00505A8B">
              <w:rPr>
                <w:color w:val="000000" w:themeColor="text1"/>
              </w:rPr>
              <w:t>б</w:t>
            </w:r>
            <w:proofErr w:type="spellEnd"/>
            <w:proofErr w:type="gramEnd"/>
            <w:r w:rsidRPr="00505A8B">
              <w:rPr>
                <w:color w:val="000000" w:themeColor="text1"/>
              </w:rPr>
              <w:t xml:space="preserve"> (233 - 290)</w:t>
            </w:r>
          </w:p>
        </w:tc>
        <w:tc>
          <w:tcPr>
            <w:tcW w:w="1444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15,0 - 16,9</w:t>
            </w:r>
          </w:p>
        </w:tc>
        <w:tc>
          <w:tcPr>
            <w:tcW w:w="1560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19,1 - 25,0</w:t>
            </w:r>
          </w:p>
        </w:tc>
        <w:tc>
          <w:tcPr>
            <w:tcW w:w="1380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15 - 75</w:t>
            </w:r>
          </w:p>
        </w:tc>
        <w:tc>
          <w:tcPr>
            <w:tcW w:w="1589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0,2</w:t>
            </w:r>
          </w:p>
        </w:tc>
        <w:tc>
          <w:tcPr>
            <w:tcW w:w="1570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0,4</w:t>
            </w:r>
          </w:p>
        </w:tc>
      </w:tr>
      <w:tr w:rsidR="00505A8B" w:rsidRPr="00505A8B">
        <w:tc>
          <w:tcPr>
            <w:tcW w:w="1526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III (более 290)</w:t>
            </w:r>
          </w:p>
        </w:tc>
        <w:tc>
          <w:tcPr>
            <w:tcW w:w="1444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13,0 - 15,9</w:t>
            </w:r>
          </w:p>
        </w:tc>
        <w:tc>
          <w:tcPr>
            <w:tcW w:w="1560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18,1 - 24,0</w:t>
            </w:r>
          </w:p>
        </w:tc>
        <w:tc>
          <w:tcPr>
            <w:tcW w:w="1380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15 - 75</w:t>
            </w:r>
          </w:p>
        </w:tc>
        <w:tc>
          <w:tcPr>
            <w:tcW w:w="1589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0,2</w:t>
            </w:r>
          </w:p>
        </w:tc>
        <w:tc>
          <w:tcPr>
            <w:tcW w:w="1570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0,4</w:t>
            </w:r>
          </w:p>
        </w:tc>
      </w:tr>
    </w:tbl>
    <w:p w:rsidR="00505A8B" w:rsidRPr="00505A8B" w:rsidRDefault="00505A8B">
      <w:pPr>
        <w:pStyle w:val="ConsPlusNormal"/>
        <w:ind w:firstLine="540"/>
        <w:jc w:val="both"/>
        <w:rPr>
          <w:color w:val="000000" w:themeColor="text1"/>
        </w:rPr>
      </w:pPr>
    </w:p>
    <w:p w:rsidR="00505A8B" w:rsidRPr="00505A8B" w:rsidRDefault="00505A8B">
      <w:pPr>
        <w:pStyle w:val="ConsPlusNormal"/>
        <w:jc w:val="right"/>
        <w:outlineLvl w:val="2"/>
        <w:rPr>
          <w:color w:val="000000" w:themeColor="text1"/>
        </w:rPr>
      </w:pPr>
      <w:r w:rsidRPr="00505A8B">
        <w:rPr>
          <w:color w:val="000000" w:themeColor="text1"/>
        </w:rPr>
        <w:t>Таблица 3</w:t>
      </w:r>
    </w:p>
    <w:p w:rsidR="00505A8B" w:rsidRPr="00505A8B" w:rsidRDefault="00505A8B">
      <w:pPr>
        <w:pStyle w:val="ConsPlusNormal"/>
        <w:ind w:firstLine="540"/>
        <w:jc w:val="both"/>
        <w:rPr>
          <w:color w:val="000000" w:themeColor="text1"/>
        </w:rPr>
      </w:pPr>
    </w:p>
    <w:p w:rsidR="00505A8B" w:rsidRPr="00505A8B" w:rsidRDefault="00505A8B">
      <w:pPr>
        <w:pStyle w:val="ConsPlusTitle"/>
        <w:jc w:val="center"/>
        <w:rPr>
          <w:color w:val="000000" w:themeColor="text1"/>
        </w:rPr>
      </w:pPr>
      <w:bookmarkStart w:id="4" w:name="P206"/>
      <w:bookmarkEnd w:id="4"/>
      <w:r w:rsidRPr="00505A8B">
        <w:rPr>
          <w:color w:val="000000" w:themeColor="text1"/>
        </w:rPr>
        <w:t>Отнесение условий труда по классу (подклассу) условий</w:t>
      </w:r>
    </w:p>
    <w:p w:rsidR="00505A8B" w:rsidRPr="00505A8B" w:rsidRDefault="00505A8B">
      <w:pPr>
        <w:pStyle w:val="ConsPlusTitle"/>
        <w:jc w:val="center"/>
        <w:rPr>
          <w:color w:val="000000" w:themeColor="text1"/>
        </w:rPr>
      </w:pPr>
      <w:r w:rsidRPr="00505A8B">
        <w:rPr>
          <w:color w:val="000000" w:themeColor="text1"/>
        </w:rPr>
        <w:t xml:space="preserve">труда на рабочих местах работников, занятых </w:t>
      </w:r>
      <w:proofErr w:type="gramStart"/>
      <w:r w:rsidRPr="00505A8B">
        <w:rPr>
          <w:color w:val="000000" w:themeColor="text1"/>
        </w:rPr>
        <w:t>на</w:t>
      </w:r>
      <w:proofErr w:type="gramEnd"/>
      <w:r w:rsidRPr="00505A8B">
        <w:rPr>
          <w:color w:val="000000" w:themeColor="text1"/>
        </w:rPr>
        <w:t xml:space="preserve"> подземных</w:t>
      </w:r>
    </w:p>
    <w:p w:rsidR="00505A8B" w:rsidRPr="00505A8B" w:rsidRDefault="00505A8B">
      <w:pPr>
        <w:pStyle w:val="ConsPlusTitle"/>
        <w:jc w:val="center"/>
        <w:rPr>
          <w:color w:val="000000" w:themeColor="text1"/>
        </w:rPr>
      </w:pPr>
      <w:proofErr w:type="gramStart"/>
      <w:r w:rsidRPr="00505A8B">
        <w:rPr>
          <w:color w:val="000000" w:themeColor="text1"/>
        </w:rPr>
        <w:t>работах</w:t>
      </w:r>
      <w:proofErr w:type="gramEnd"/>
      <w:r w:rsidRPr="00505A8B">
        <w:rPr>
          <w:color w:val="000000" w:themeColor="text1"/>
        </w:rPr>
        <w:t>, расположенных в подземных помещениях угольных шахт,</w:t>
      </w:r>
    </w:p>
    <w:p w:rsidR="00505A8B" w:rsidRPr="00505A8B" w:rsidRDefault="00505A8B">
      <w:pPr>
        <w:pStyle w:val="ConsPlusTitle"/>
        <w:jc w:val="center"/>
        <w:rPr>
          <w:color w:val="000000" w:themeColor="text1"/>
        </w:rPr>
      </w:pPr>
      <w:r w:rsidRPr="00505A8B">
        <w:rPr>
          <w:color w:val="000000" w:themeColor="text1"/>
        </w:rPr>
        <w:t>в зависимости от величины ТНС-индекса (°C) в условиях</w:t>
      </w:r>
    </w:p>
    <w:p w:rsidR="00505A8B" w:rsidRPr="00505A8B" w:rsidRDefault="00505A8B">
      <w:pPr>
        <w:pStyle w:val="ConsPlusTitle"/>
        <w:jc w:val="center"/>
        <w:rPr>
          <w:color w:val="000000" w:themeColor="text1"/>
        </w:rPr>
      </w:pPr>
      <w:r w:rsidRPr="00505A8B">
        <w:rPr>
          <w:color w:val="000000" w:themeColor="text1"/>
        </w:rPr>
        <w:t>нагревающего микроклимата (верхняя граница значений)</w:t>
      </w:r>
    </w:p>
    <w:p w:rsidR="00505A8B" w:rsidRPr="00505A8B" w:rsidRDefault="00505A8B">
      <w:pPr>
        <w:pStyle w:val="ConsPlusNormal"/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84"/>
        <w:gridCol w:w="907"/>
        <w:gridCol w:w="907"/>
        <w:gridCol w:w="907"/>
        <w:gridCol w:w="907"/>
        <w:gridCol w:w="2640"/>
      </w:tblGrid>
      <w:tr w:rsidR="00505A8B" w:rsidRPr="00505A8B">
        <w:tc>
          <w:tcPr>
            <w:tcW w:w="9052" w:type="dxa"/>
            <w:gridSpan w:val="6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Класс условий труда</w:t>
            </w:r>
          </w:p>
        </w:tc>
      </w:tr>
      <w:tr w:rsidR="00505A8B" w:rsidRPr="00505A8B">
        <w:tc>
          <w:tcPr>
            <w:tcW w:w="2784" w:type="dxa"/>
            <w:vMerge w:val="restart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Допустимый</w:t>
            </w:r>
          </w:p>
        </w:tc>
        <w:tc>
          <w:tcPr>
            <w:tcW w:w="3628" w:type="dxa"/>
            <w:gridSpan w:val="4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Вредный</w:t>
            </w:r>
          </w:p>
        </w:tc>
        <w:tc>
          <w:tcPr>
            <w:tcW w:w="2640" w:type="dxa"/>
            <w:vMerge w:val="restart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Опасный</w:t>
            </w:r>
          </w:p>
        </w:tc>
      </w:tr>
      <w:tr w:rsidR="00505A8B" w:rsidRPr="00505A8B">
        <w:tc>
          <w:tcPr>
            <w:tcW w:w="2784" w:type="dxa"/>
            <w:vMerge/>
          </w:tcPr>
          <w:p w:rsidR="00505A8B" w:rsidRPr="00505A8B" w:rsidRDefault="00505A8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3.1</w:t>
            </w:r>
          </w:p>
        </w:tc>
        <w:tc>
          <w:tcPr>
            <w:tcW w:w="907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3.2</w:t>
            </w:r>
          </w:p>
        </w:tc>
        <w:tc>
          <w:tcPr>
            <w:tcW w:w="907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3.3</w:t>
            </w:r>
          </w:p>
        </w:tc>
        <w:tc>
          <w:tcPr>
            <w:tcW w:w="907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3.4</w:t>
            </w:r>
          </w:p>
        </w:tc>
        <w:tc>
          <w:tcPr>
            <w:tcW w:w="2640" w:type="dxa"/>
            <w:vMerge/>
          </w:tcPr>
          <w:p w:rsidR="00505A8B" w:rsidRPr="00505A8B" w:rsidRDefault="00505A8B">
            <w:pPr>
              <w:pStyle w:val="ConsPlusNormal"/>
              <w:rPr>
                <w:color w:val="000000" w:themeColor="text1"/>
              </w:rPr>
            </w:pPr>
          </w:p>
        </w:tc>
      </w:tr>
      <w:tr w:rsidR="00505A8B" w:rsidRPr="00505A8B">
        <w:tc>
          <w:tcPr>
            <w:tcW w:w="2784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23,9</w:t>
            </w:r>
          </w:p>
        </w:tc>
        <w:tc>
          <w:tcPr>
            <w:tcW w:w="907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24,2</w:t>
            </w:r>
          </w:p>
        </w:tc>
        <w:tc>
          <w:tcPr>
            <w:tcW w:w="907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25,0</w:t>
            </w:r>
          </w:p>
        </w:tc>
        <w:tc>
          <w:tcPr>
            <w:tcW w:w="907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26,4</w:t>
            </w:r>
          </w:p>
        </w:tc>
        <w:tc>
          <w:tcPr>
            <w:tcW w:w="907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29,9</w:t>
            </w:r>
          </w:p>
        </w:tc>
        <w:tc>
          <w:tcPr>
            <w:tcW w:w="2640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30,0 и более</w:t>
            </w:r>
          </w:p>
        </w:tc>
      </w:tr>
    </w:tbl>
    <w:p w:rsidR="00505A8B" w:rsidRPr="00505A8B" w:rsidRDefault="00505A8B">
      <w:pPr>
        <w:pStyle w:val="ConsPlusNormal"/>
        <w:ind w:firstLine="540"/>
        <w:jc w:val="both"/>
        <w:rPr>
          <w:color w:val="000000" w:themeColor="text1"/>
        </w:rPr>
      </w:pPr>
    </w:p>
    <w:p w:rsidR="00505A8B" w:rsidRPr="00505A8B" w:rsidRDefault="00505A8B">
      <w:pPr>
        <w:pStyle w:val="ConsPlusNormal"/>
        <w:jc w:val="right"/>
        <w:outlineLvl w:val="2"/>
        <w:rPr>
          <w:color w:val="000000" w:themeColor="text1"/>
        </w:rPr>
      </w:pPr>
      <w:r w:rsidRPr="00505A8B">
        <w:rPr>
          <w:color w:val="000000" w:themeColor="text1"/>
        </w:rPr>
        <w:t>Таблица 4</w:t>
      </w:r>
    </w:p>
    <w:p w:rsidR="00505A8B" w:rsidRPr="00505A8B" w:rsidRDefault="00505A8B">
      <w:pPr>
        <w:pStyle w:val="ConsPlusNormal"/>
        <w:jc w:val="right"/>
        <w:rPr>
          <w:color w:val="000000" w:themeColor="text1"/>
        </w:rPr>
      </w:pPr>
    </w:p>
    <w:p w:rsidR="00505A8B" w:rsidRPr="00505A8B" w:rsidRDefault="00505A8B">
      <w:pPr>
        <w:pStyle w:val="ConsPlusTitle"/>
        <w:jc w:val="center"/>
        <w:rPr>
          <w:color w:val="000000" w:themeColor="text1"/>
        </w:rPr>
      </w:pPr>
      <w:bookmarkStart w:id="5" w:name="P229"/>
      <w:bookmarkEnd w:id="5"/>
      <w:r w:rsidRPr="00505A8B">
        <w:rPr>
          <w:color w:val="000000" w:themeColor="text1"/>
        </w:rPr>
        <w:lastRenderedPageBreak/>
        <w:t xml:space="preserve">Допустимые параметры микроклимата в </w:t>
      </w:r>
      <w:proofErr w:type="gramStart"/>
      <w:r w:rsidRPr="00505A8B">
        <w:rPr>
          <w:color w:val="000000" w:themeColor="text1"/>
        </w:rPr>
        <w:t>подземных</w:t>
      </w:r>
      <w:proofErr w:type="gramEnd"/>
      <w:r w:rsidRPr="00505A8B">
        <w:rPr>
          <w:color w:val="000000" w:themeColor="text1"/>
        </w:rPr>
        <w:t xml:space="preserve"> горных</w:t>
      </w:r>
    </w:p>
    <w:p w:rsidR="00505A8B" w:rsidRPr="00505A8B" w:rsidRDefault="00505A8B">
      <w:pPr>
        <w:pStyle w:val="ConsPlusTitle"/>
        <w:jc w:val="center"/>
        <w:rPr>
          <w:color w:val="000000" w:themeColor="text1"/>
        </w:rPr>
      </w:pPr>
      <w:proofErr w:type="gramStart"/>
      <w:r w:rsidRPr="00505A8B">
        <w:rPr>
          <w:color w:val="000000" w:themeColor="text1"/>
        </w:rPr>
        <w:t>выработках</w:t>
      </w:r>
      <w:proofErr w:type="gramEnd"/>
      <w:r w:rsidRPr="00505A8B">
        <w:rPr>
          <w:color w:val="000000" w:themeColor="text1"/>
        </w:rPr>
        <w:t xml:space="preserve"> угольных шахт на постоянных рабочих местах</w:t>
      </w:r>
    </w:p>
    <w:p w:rsidR="00505A8B" w:rsidRPr="00505A8B" w:rsidRDefault="00505A8B">
      <w:pPr>
        <w:pStyle w:val="ConsPlusNormal"/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7"/>
        <w:gridCol w:w="1440"/>
        <w:gridCol w:w="1666"/>
        <w:gridCol w:w="2986"/>
      </w:tblGrid>
      <w:tr w:rsidR="00505A8B" w:rsidRPr="00505A8B">
        <w:tc>
          <w:tcPr>
            <w:tcW w:w="2947" w:type="dxa"/>
            <w:vMerge w:val="restart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Скорость движения воздуха, м/</w:t>
            </w:r>
            <w:proofErr w:type="gramStart"/>
            <w:r w:rsidRPr="00505A8B">
              <w:rPr>
                <w:color w:val="000000" w:themeColor="text1"/>
              </w:rPr>
              <w:t>с</w:t>
            </w:r>
            <w:proofErr w:type="gramEnd"/>
          </w:p>
        </w:tc>
        <w:tc>
          <w:tcPr>
            <w:tcW w:w="6092" w:type="dxa"/>
            <w:gridSpan w:val="3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Допустимая температура воздуха (°C), при относительной влажности</w:t>
            </w:r>
          </w:p>
        </w:tc>
      </w:tr>
      <w:tr w:rsidR="00505A8B" w:rsidRPr="00505A8B">
        <w:tc>
          <w:tcPr>
            <w:tcW w:w="2947" w:type="dxa"/>
            <w:vMerge/>
          </w:tcPr>
          <w:p w:rsidR="00505A8B" w:rsidRPr="00505A8B" w:rsidRDefault="00505A8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40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до 75%</w:t>
            </w:r>
          </w:p>
        </w:tc>
        <w:tc>
          <w:tcPr>
            <w:tcW w:w="1666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76 - 90%</w:t>
            </w:r>
          </w:p>
        </w:tc>
        <w:tc>
          <w:tcPr>
            <w:tcW w:w="2986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свыше 91 - 95%</w:t>
            </w:r>
          </w:p>
        </w:tc>
      </w:tr>
      <w:tr w:rsidR="00505A8B" w:rsidRPr="00505A8B">
        <w:tc>
          <w:tcPr>
            <w:tcW w:w="2947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до 0,25</w:t>
            </w:r>
          </w:p>
        </w:tc>
        <w:tc>
          <w:tcPr>
            <w:tcW w:w="1440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16 - 24</w:t>
            </w:r>
          </w:p>
        </w:tc>
        <w:tc>
          <w:tcPr>
            <w:tcW w:w="1666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18 - 23</w:t>
            </w:r>
          </w:p>
        </w:tc>
        <w:tc>
          <w:tcPr>
            <w:tcW w:w="2986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18 - 22</w:t>
            </w:r>
          </w:p>
        </w:tc>
      </w:tr>
      <w:tr w:rsidR="00505A8B" w:rsidRPr="00505A8B">
        <w:tc>
          <w:tcPr>
            <w:tcW w:w="2947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0,26 - 0,5</w:t>
            </w:r>
          </w:p>
        </w:tc>
        <w:tc>
          <w:tcPr>
            <w:tcW w:w="1440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18 - 25</w:t>
            </w:r>
          </w:p>
        </w:tc>
        <w:tc>
          <w:tcPr>
            <w:tcW w:w="1666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19 - 24</w:t>
            </w:r>
          </w:p>
        </w:tc>
        <w:tc>
          <w:tcPr>
            <w:tcW w:w="2986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19 - 23</w:t>
            </w:r>
          </w:p>
        </w:tc>
      </w:tr>
      <w:tr w:rsidR="00505A8B" w:rsidRPr="00505A8B">
        <w:tc>
          <w:tcPr>
            <w:tcW w:w="2947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0,51 - 1,00</w:t>
            </w:r>
          </w:p>
        </w:tc>
        <w:tc>
          <w:tcPr>
            <w:tcW w:w="1440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19 - 26</w:t>
            </w:r>
          </w:p>
        </w:tc>
        <w:tc>
          <w:tcPr>
            <w:tcW w:w="1666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20 - 25</w:t>
            </w:r>
          </w:p>
        </w:tc>
        <w:tc>
          <w:tcPr>
            <w:tcW w:w="2986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20 - 24</w:t>
            </w:r>
          </w:p>
        </w:tc>
      </w:tr>
      <w:tr w:rsidR="00505A8B" w:rsidRPr="00505A8B">
        <w:tc>
          <w:tcPr>
            <w:tcW w:w="2947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1,10 - 4,00</w:t>
            </w:r>
          </w:p>
        </w:tc>
        <w:tc>
          <w:tcPr>
            <w:tcW w:w="1440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20 - 26</w:t>
            </w:r>
          </w:p>
        </w:tc>
        <w:tc>
          <w:tcPr>
            <w:tcW w:w="1666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22 - 26</w:t>
            </w:r>
          </w:p>
        </w:tc>
        <w:tc>
          <w:tcPr>
            <w:tcW w:w="2986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22 - 27</w:t>
            </w:r>
          </w:p>
        </w:tc>
      </w:tr>
    </w:tbl>
    <w:p w:rsidR="00505A8B" w:rsidRPr="00505A8B" w:rsidRDefault="00505A8B">
      <w:pPr>
        <w:pStyle w:val="ConsPlusNormal"/>
        <w:ind w:firstLine="540"/>
        <w:jc w:val="both"/>
        <w:rPr>
          <w:color w:val="000000" w:themeColor="text1"/>
        </w:rPr>
      </w:pPr>
    </w:p>
    <w:p w:rsidR="00505A8B" w:rsidRPr="00505A8B" w:rsidRDefault="00505A8B">
      <w:pPr>
        <w:pStyle w:val="ConsPlusNormal"/>
        <w:jc w:val="right"/>
        <w:outlineLvl w:val="2"/>
        <w:rPr>
          <w:color w:val="000000" w:themeColor="text1"/>
        </w:rPr>
      </w:pPr>
      <w:r w:rsidRPr="00505A8B">
        <w:rPr>
          <w:color w:val="000000" w:themeColor="text1"/>
        </w:rPr>
        <w:t>Таблица 5</w:t>
      </w:r>
    </w:p>
    <w:p w:rsidR="00505A8B" w:rsidRPr="00505A8B" w:rsidRDefault="00505A8B">
      <w:pPr>
        <w:pStyle w:val="ConsPlusNormal"/>
        <w:jc w:val="right"/>
        <w:rPr>
          <w:color w:val="000000" w:themeColor="text1"/>
        </w:rPr>
      </w:pPr>
    </w:p>
    <w:p w:rsidR="00505A8B" w:rsidRPr="00505A8B" w:rsidRDefault="00505A8B">
      <w:pPr>
        <w:pStyle w:val="ConsPlusTitle"/>
        <w:jc w:val="center"/>
        <w:rPr>
          <w:color w:val="000000" w:themeColor="text1"/>
        </w:rPr>
      </w:pPr>
      <w:bookmarkStart w:id="6" w:name="P256"/>
      <w:bookmarkEnd w:id="6"/>
      <w:r w:rsidRPr="00505A8B">
        <w:rPr>
          <w:color w:val="000000" w:themeColor="text1"/>
        </w:rPr>
        <w:t>Итоговый класс (подкласс) условий труда на рабочих</w:t>
      </w:r>
    </w:p>
    <w:p w:rsidR="00505A8B" w:rsidRPr="00505A8B" w:rsidRDefault="00505A8B">
      <w:pPr>
        <w:pStyle w:val="ConsPlusTitle"/>
        <w:jc w:val="center"/>
        <w:rPr>
          <w:color w:val="000000" w:themeColor="text1"/>
        </w:rPr>
      </w:pPr>
      <w:r w:rsidRPr="00505A8B">
        <w:rPr>
          <w:color w:val="000000" w:themeColor="text1"/>
        </w:rPr>
        <w:t xml:space="preserve">местах работников, расположенных </w:t>
      </w:r>
      <w:proofErr w:type="gramStart"/>
      <w:r w:rsidRPr="00505A8B">
        <w:rPr>
          <w:color w:val="000000" w:themeColor="text1"/>
        </w:rPr>
        <w:t>в</w:t>
      </w:r>
      <w:proofErr w:type="gramEnd"/>
      <w:r w:rsidRPr="00505A8B">
        <w:rPr>
          <w:color w:val="000000" w:themeColor="text1"/>
        </w:rPr>
        <w:t xml:space="preserve"> подземных горных</w:t>
      </w:r>
    </w:p>
    <w:p w:rsidR="00505A8B" w:rsidRPr="00505A8B" w:rsidRDefault="00505A8B">
      <w:pPr>
        <w:pStyle w:val="ConsPlusTitle"/>
        <w:jc w:val="center"/>
        <w:rPr>
          <w:color w:val="000000" w:themeColor="text1"/>
        </w:rPr>
      </w:pPr>
      <w:proofErr w:type="gramStart"/>
      <w:r w:rsidRPr="00505A8B">
        <w:rPr>
          <w:color w:val="000000" w:themeColor="text1"/>
        </w:rPr>
        <w:t>выработках</w:t>
      </w:r>
      <w:proofErr w:type="gramEnd"/>
      <w:r w:rsidRPr="00505A8B">
        <w:rPr>
          <w:color w:val="000000" w:themeColor="text1"/>
        </w:rPr>
        <w:t xml:space="preserve"> и подземных помещениях угольных шахт,</w:t>
      </w:r>
    </w:p>
    <w:p w:rsidR="00505A8B" w:rsidRPr="00505A8B" w:rsidRDefault="00505A8B">
      <w:pPr>
        <w:pStyle w:val="ConsPlusTitle"/>
        <w:jc w:val="center"/>
        <w:rPr>
          <w:color w:val="000000" w:themeColor="text1"/>
        </w:rPr>
      </w:pPr>
      <w:r w:rsidRPr="00505A8B">
        <w:rPr>
          <w:color w:val="000000" w:themeColor="text1"/>
        </w:rPr>
        <w:t>при воздействии световой среды</w:t>
      </w:r>
    </w:p>
    <w:p w:rsidR="00505A8B" w:rsidRPr="00505A8B" w:rsidRDefault="00505A8B">
      <w:pPr>
        <w:pStyle w:val="ConsPlusNormal"/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56"/>
        <w:gridCol w:w="2832"/>
        <w:gridCol w:w="2597"/>
        <w:gridCol w:w="1349"/>
      </w:tblGrid>
      <w:tr w:rsidR="00505A8B" w:rsidRPr="00505A8B">
        <w:tc>
          <w:tcPr>
            <w:tcW w:w="2256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Оценка естественного освещения</w:t>
            </w:r>
          </w:p>
        </w:tc>
        <w:tc>
          <w:tcPr>
            <w:tcW w:w="2832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Класс (подкласс) условий труда на рабочем месте, установленный по результатам исследований (испытаний) и измерений значения показателей освещенности</w:t>
            </w:r>
          </w:p>
        </w:tc>
        <w:tc>
          <w:tcPr>
            <w:tcW w:w="2597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Профилактические мероприятия по ультрафиолетовому облучению работников</w:t>
            </w:r>
          </w:p>
        </w:tc>
        <w:tc>
          <w:tcPr>
            <w:tcW w:w="1349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Итоговый класс (подкласс) условий труда на рабочем месте</w:t>
            </w:r>
          </w:p>
        </w:tc>
      </w:tr>
      <w:tr w:rsidR="00505A8B" w:rsidRPr="00505A8B">
        <w:tc>
          <w:tcPr>
            <w:tcW w:w="2256" w:type="dxa"/>
            <w:vMerge w:val="restart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Естественное освещение отсутствует в течение всего рабочего дня (смены) Подкласс 3.2</w:t>
            </w:r>
          </w:p>
        </w:tc>
        <w:tc>
          <w:tcPr>
            <w:tcW w:w="2832" w:type="dxa"/>
            <w:vMerge w:val="restart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2</w:t>
            </w:r>
          </w:p>
        </w:tc>
        <w:tc>
          <w:tcPr>
            <w:tcW w:w="2597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имеется</w:t>
            </w:r>
          </w:p>
        </w:tc>
        <w:tc>
          <w:tcPr>
            <w:tcW w:w="1349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3.1</w:t>
            </w:r>
          </w:p>
        </w:tc>
      </w:tr>
      <w:tr w:rsidR="00505A8B" w:rsidRPr="00505A8B">
        <w:tc>
          <w:tcPr>
            <w:tcW w:w="2256" w:type="dxa"/>
            <w:vMerge/>
          </w:tcPr>
          <w:p w:rsidR="00505A8B" w:rsidRPr="00505A8B" w:rsidRDefault="00505A8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832" w:type="dxa"/>
            <w:vMerge/>
          </w:tcPr>
          <w:p w:rsidR="00505A8B" w:rsidRPr="00505A8B" w:rsidRDefault="00505A8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97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отсутствует</w:t>
            </w:r>
          </w:p>
        </w:tc>
        <w:tc>
          <w:tcPr>
            <w:tcW w:w="1349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3.1</w:t>
            </w:r>
          </w:p>
        </w:tc>
      </w:tr>
      <w:tr w:rsidR="00505A8B" w:rsidRPr="00505A8B">
        <w:tc>
          <w:tcPr>
            <w:tcW w:w="2256" w:type="dxa"/>
            <w:vMerge/>
          </w:tcPr>
          <w:p w:rsidR="00505A8B" w:rsidRPr="00505A8B" w:rsidRDefault="00505A8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832" w:type="dxa"/>
            <w:vMerge w:val="restart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3.1</w:t>
            </w:r>
          </w:p>
        </w:tc>
        <w:tc>
          <w:tcPr>
            <w:tcW w:w="2597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имеется</w:t>
            </w:r>
          </w:p>
        </w:tc>
        <w:tc>
          <w:tcPr>
            <w:tcW w:w="1349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3.1</w:t>
            </w:r>
          </w:p>
        </w:tc>
      </w:tr>
      <w:tr w:rsidR="00505A8B" w:rsidRPr="00505A8B">
        <w:tc>
          <w:tcPr>
            <w:tcW w:w="2256" w:type="dxa"/>
            <w:vMerge/>
          </w:tcPr>
          <w:p w:rsidR="00505A8B" w:rsidRPr="00505A8B" w:rsidRDefault="00505A8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832" w:type="dxa"/>
            <w:vMerge/>
          </w:tcPr>
          <w:p w:rsidR="00505A8B" w:rsidRPr="00505A8B" w:rsidRDefault="00505A8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97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отсутствует</w:t>
            </w:r>
          </w:p>
        </w:tc>
        <w:tc>
          <w:tcPr>
            <w:tcW w:w="1349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3.2</w:t>
            </w:r>
          </w:p>
        </w:tc>
      </w:tr>
      <w:tr w:rsidR="00505A8B" w:rsidRPr="00505A8B">
        <w:tc>
          <w:tcPr>
            <w:tcW w:w="2256" w:type="dxa"/>
            <w:vMerge/>
          </w:tcPr>
          <w:p w:rsidR="00505A8B" w:rsidRPr="00505A8B" w:rsidRDefault="00505A8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832" w:type="dxa"/>
            <w:vMerge w:val="restart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3.2</w:t>
            </w:r>
          </w:p>
        </w:tc>
        <w:tc>
          <w:tcPr>
            <w:tcW w:w="2597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имеется</w:t>
            </w:r>
          </w:p>
        </w:tc>
        <w:tc>
          <w:tcPr>
            <w:tcW w:w="1349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3.2</w:t>
            </w:r>
          </w:p>
        </w:tc>
      </w:tr>
      <w:tr w:rsidR="00505A8B" w:rsidRPr="00505A8B">
        <w:tc>
          <w:tcPr>
            <w:tcW w:w="2256" w:type="dxa"/>
            <w:vMerge/>
          </w:tcPr>
          <w:p w:rsidR="00505A8B" w:rsidRPr="00505A8B" w:rsidRDefault="00505A8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832" w:type="dxa"/>
            <w:vMerge/>
          </w:tcPr>
          <w:p w:rsidR="00505A8B" w:rsidRPr="00505A8B" w:rsidRDefault="00505A8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97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отсутствует</w:t>
            </w:r>
          </w:p>
        </w:tc>
        <w:tc>
          <w:tcPr>
            <w:tcW w:w="1349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3.2</w:t>
            </w:r>
          </w:p>
        </w:tc>
      </w:tr>
      <w:tr w:rsidR="00505A8B" w:rsidRPr="00505A8B">
        <w:tc>
          <w:tcPr>
            <w:tcW w:w="2256" w:type="dxa"/>
            <w:vMerge w:val="restart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Естественное освещение периодически присутствует в течение рабочего дня (смены) - есть выходы на поверхность согласно должностным обязанностям Подкласс 3.1</w:t>
            </w:r>
          </w:p>
        </w:tc>
        <w:tc>
          <w:tcPr>
            <w:tcW w:w="2832" w:type="dxa"/>
            <w:vMerge w:val="restart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2</w:t>
            </w:r>
          </w:p>
        </w:tc>
        <w:tc>
          <w:tcPr>
            <w:tcW w:w="2597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имеется</w:t>
            </w:r>
          </w:p>
        </w:tc>
        <w:tc>
          <w:tcPr>
            <w:tcW w:w="1349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2</w:t>
            </w:r>
          </w:p>
        </w:tc>
      </w:tr>
      <w:tr w:rsidR="00505A8B" w:rsidRPr="00505A8B">
        <w:tc>
          <w:tcPr>
            <w:tcW w:w="2256" w:type="dxa"/>
            <w:vMerge/>
          </w:tcPr>
          <w:p w:rsidR="00505A8B" w:rsidRPr="00505A8B" w:rsidRDefault="00505A8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832" w:type="dxa"/>
            <w:vMerge/>
          </w:tcPr>
          <w:p w:rsidR="00505A8B" w:rsidRPr="00505A8B" w:rsidRDefault="00505A8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97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отсутствует</w:t>
            </w:r>
          </w:p>
        </w:tc>
        <w:tc>
          <w:tcPr>
            <w:tcW w:w="1349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3.1</w:t>
            </w:r>
          </w:p>
        </w:tc>
      </w:tr>
      <w:tr w:rsidR="00505A8B" w:rsidRPr="00505A8B">
        <w:tc>
          <w:tcPr>
            <w:tcW w:w="2256" w:type="dxa"/>
            <w:vMerge/>
          </w:tcPr>
          <w:p w:rsidR="00505A8B" w:rsidRPr="00505A8B" w:rsidRDefault="00505A8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832" w:type="dxa"/>
            <w:vMerge w:val="restart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3.1</w:t>
            </w:r>
          </w:p>
        </w:tc>
        <w:tc>
          <w:tcPr>
            <w:tcW w:w="2597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имеется</w:t>
            </w:r>
          </w:p>
        </w:tc>
        <w:tc>
          <w:tcPr>
            <w:tcW w:w="1349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3.1</w:t>
            </w:r>
          </w:p>
        </w:tc>
      </w:tr>
      <w:tr w:rsidR="00505A8B" w:rsidRPr="00505A8B">
        <w:tc>
          <w:tcPr>
            <w:tcW w:w="2256" w:type="dxa"/>
            <w:vMerge/>
          </w:tcPr>
          <w:p w:rsidR="00505A8B" w:rsidRPr="00505A8B" w:rsidRDefault="00505A8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832" w:type="dxa"/>
            <w:vMerge/>
          </w:tcPr>
          <w:p w:rsidR="00505A8B" w:rsidRPr="00505A8B" w:rsidRDefault="00505A8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97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отсутствует</w:t>
            </w:r>
          </w:p>
        </w:tc>
        <w:tc>
          <w:tcPr>
            <w:tcW w:w="1349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3.2</w:t>
            </w:r>
          </w:p>
        </w:tc>
      </w:tr>
      <w:tr w:rsidR="00505A8B" w:rsidRPr="00505A8B">
        <w:tc>
          <w:tcPr>
            <w:tcW w:w="2256" w:type="dxa"/>
            <w:vMerge/>
          </w:tcPr>
          <w:p w:rsidR="00505A8B" w:rsidRPr="00505A8B" w:rsidRDefault="00505A8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832" w:type="dxa"/>
            <w:vMerge w:val="restart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3.2</w:t>
            </w:r>
          </w:p>
        </w:tc>
        <w:tc>
          <w:tcPr>
            <w:tcW w:w="2597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имеется</w:t>
            </w:r>
          </w:p>
        </w:tc>
        <w:tc>
          <w:tcPr>
            <w:tcW w:w="1349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3.2</w:t>
            </w:r>
          </w:p>
        </w:tc>
      </w:tr>
      <w:tr w:rsidR="00505A8B" w:rsidRPr="00505A8B">
        <w:tc>
          <w:tcPr>
            <w:tcW w:w="2256" w:type="dxa"/>
            <w:vMerge/>
          </w:tcPr>
          <w:p w:rsidR="00505A8B" w:rsidRPr="00505A8B" w:rsidRDefault="00505A8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832" w:type="dxa"/>
            <w:vMerge/>
          </w:tcPr>
          <w:p w:rsidR="00505A8B" w:rsidRPr="00505A8B" w:rsidRDefault="00505A8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97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отсутствует</w:t>
            </w:r>
          </w:p>
        </w:tc>
        <w:tc>
          <w:tcPr>
            <w:tcW w:w="1349" w:type="dxa"/>
          </w:tcPr>
          <w:p w:rsidR="00505A8B" w:rsidRPr="00505A8B" w:rsidRDefault="00505A8B">
            <w:pPr>
              <w:pStyle w:val="ConsPlusNormal"/>
              <w:jc w:val="center"/>
              <w:rPr>
                <w:color w:val="000000" w:themeColor="text1"/>
              </w:rPr>
            </w:pPr>
            <w:r w:rsidRPr="00505A8B">
              <w:rPr>
                <w:color w:val="000000" w:themeColor="text1"/>
              </w:rPr>
              <w:t>3.2</w:t>
            </w:r>
          </w:p>
        </w:tc>
      </w:tr>
    </w:tbl>
    <w:p w:rsidR="00505A8B" w:rsidRPr="00505A8B" w:rsidRDefault="00505A8B">
      <w:pPr>
        <w:pStyle w:val="ConsPlusNormal"/>
        <w:ind w:firstLine="540"/>
        <w:jc w:val="both"/>
        <w:rPr>
          <w:color w:val="000000" w:themeColor="text1"/>
        </w:rPr>
      </w:pPr>
    </w:p>
    <w:p w:rsidR="00505A8B" w:rsidRPr="00505A8B" w:rsidRDefault="00505A8B">
      <w:pPr>
        <w:pStyle w:val="ConsPlusNormal"/>
        <w:ind w:firstLine="540"/>
        <w:jc w:val="both"/>
        <w:rPr>
          <w:color w:val="000000" w:themeColor="text1"/>
        </w:rPr>
      </w:pPr>
    </w:p>
    <w:p w:rsidR="00505A8B" w:rsidRPr="00505A8B" w:rsidRDefault="00505A8B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D26FFA" w:rsidRPr="00505A8B" w:rsidRDefault="00D26FFA">
      <w:pPr>
        <w:rPr>
          <w:color w:val="000000" w:themeColor="text1"/>
        </w:rPr>
      </w:pPr>
    </w:p>
    <w:sectPr w:rsidR="00D26FFA" w:rsidRPr="00505A8B" w:rsidSect="00BF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A8B"/>
    <w:rsid w:val="00505A8B"/>
    <w:rsid w:val="00D2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5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5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5A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5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5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5A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48231" TargetMode="External"/><Relationship Id="rId13" Type="http://schemas.openxmlformats.org/officeDocument/2006/relationships/hyperlink" Target="https://login.consultant.ru/link/?req=doc&amp;base=LAW&amp;n=489748&amp;dst=1000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7476&amp;dst=39" TargetMode="External"/><Relationship Id="rId12" Type="http://schemas.openxmlformats.org/officeDocument/2006/relationships/hyperlink" Target="https://login.consultant.ru/link/?req=doc&amp;base=LAW&amp;n=489748&amp;dst=100090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1697&amp;dst=100028" TargetMode="External"/><Relationship Id="rId11" Type="http://schemas.openxmlformats.org/officeDocument/2006/relationships/hyperlink" Target="https://login.consultant.ru/link/?req=doc&amp;base=LAW&amp;n=375352&amp;dst=100254" TargetMode="External"/><Relationship Id="rId5" Type="http://schemas.openxmlformats.org/officeDocument/2006/relationships/hyperlink" Target="https://login.consultant.ru/link/?req=doc&amp;base=LAW&amp;n=452984&amp;dst=10032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3282&amp;dst=1000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48088" TargetMode="External"/><Relationship Id="rId14" Type="http://schemas.openxmlformats.org/officeDocument/2006/relationships/hyperlink" Target="https://login.consultant.ru/link/?req=doc&amp;base=LAW&amp;n=463282&amp;dst=1004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2903</Words>
  <Characters>16548</Characters>
  <Application>Microsoft Office Word</Application>
  <DocSecurity>0</DocSecurity>
  <Lines>137</Lines>
  <Paragraphs>38</Paragraphs>
  <ScaleCrop>false</ScaleCrop>
  <Company/>
  <LinksUpToDate>false</LinksUpToDate>
  <CharactersWithSpaces>19413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Черноусов Вадим Сергеевич</dc:creator>
  <cp:lastModifiedBy>Черноусов Вадим Сергеевич</cp:lastModifiedBy>
  <cp:revision>1</cp:revision>
  <dcterms:created xsi:type="dcterms:W3CDTF">2025-09-01T07:02:00Z</dcterms:created>
  <dcterms:modified xsi:type="dcterms:W3CDTF">2025-09-01T07:13:00Z</dcterms:modified>
</cp:coreProperties>
</file>