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95F" w:rsidRDefault="00DA295F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DA295F" w:rsidRDefault="00DA295F">
      <w:pPr>
        <w:pStyle w:val="ConsPlusNormal"/>
        <w:jc w:val="both"/>
        <w:outlineLvl w:val="0"/>
      </w:pPr>
    </w:p>
    <w:p w:rsidR="00DA295F" w:rsidRDefault="00DA295F">
      <w:pPr>
        <w:pStyle w:val="ConsPlusTitle"/>
        <w:jc w:val="center"/>
        <w:outlineLvl w:val="0"/>
      </w:pPr>
      <w:r>
        <w:t>ПРИКАЗ</w:t>
      </w:r>
    </w:p>
    <w:p w:rsidR="00DA295F" w:rsidRDefault="00DA295F">
      <w:pPr>
        <w:pStyle w:val="ConsPlusTitle"/>
        <w:jc w:val="center"/>
      </w:pPr>
      <w:r>
        <w:t>от 13 июля 2023 г. N 1375</w:t>
      </w:r>
    </w:p>
    <w:p w:rsidR="00DA295F" w:rsidRDefault="00DA295F">
      <w:pPr>
        <w:pStyle w:val="ConsPlusTitle"/>
        <w:jc w:val="center"/>
      </w:pPr>
    </w:p>
    <w:p w:rsidR="00DA295F" w:rsidRDefault="00DA295F">
      <w:pPr>
        <w:pStyle w:val="ConsPlusTitle"/>
        <w:jc w:val="center"/>
      </w:pPr>
      <w:r>
        <w:t>ОБ УТВЕРЖДЕНИИ ПОРЯДКА ОРГАНИЗАЦИИ РАБОТЫ</w:t>
      </w:r>
    </w:p>
    <w:p w:rsidR="00DA295F" w:rsidRDefault="00DA295F">
      <w:pPr>
        <w:pStyle w:val="ConsPlusTitle"/>
        <w:jc w:val="center"/>
      </w:pPr>
      <w:r>
        <w:t>ОРГАНОВ СИСТЕМЫ ФОНДА ПЕНСИОННОГО И СОЦИАЛЬНОГО</w:t>
      </w:r>
    </w:p>
    <w:p w:rsidR="00DA295F" w:rsidRDefault="00DA295F">
      <w:pPr>
        <w:pStyle w:val="ConsPlusTitle"/>
        <w:jc w:val="center"/>
      </w:pPr>
      <w:r>
        <w:t>СТРАХОВАНИЯ РОССИЙСКОЙ ФЕДЕРАЦИИ ПО ПОДТВЕРЖДЕНИЮ</w:t>
      </w:r>
    </w:p>
    <w:p w:rsidR="00DA295F" w:rsidRDefault="00DA295F">
      <w:pPr>
        <w:pStyle w:val="ConsPlusTitle"/>
        <w:jc w:val="center"/>
      </w:pPr>
      <w:r>
        <w:t>СТРАХОВОГО (ТРУДОВОГО) СТАЖА В РАМКАХ РЕАЛИЗАЦИИ</w:t>
      </w:r>
    </w:p>
    <w:p w:rsidR="00DA295F" w:rsidRDefault="00DA295F">
      <w:pPr>
        <w:pStyle w:val="ConsPlusTitle"/>
        <w:jc w:val="center"/>
      </w:pPr>
      <w:r>
        <w:t>МЕЖДУНАРОДНЫХ ДОГОВОРОВ РОССИЙСКОЙ ФЕДЕРАЦИИ</w:t>
      </w:r>
    </w:p>
    <w:p w:rsidR="00DA295F" w:rsidRDefault="00DA295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A295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295F" w:rsidRDefault="00DA295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прик. от 02.10.2026 N </w:t>
            </w:r>
            <w:hyperlink r:id="rId6">
              <w:r>
                <w:rPr>
                  <w:color w:val="0000FF"/>
                </w:rPr>
                <w:t>1174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</w:tr>
    </w:tbl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В целях </w:t>
      </w:r>
      <w:proofErr w:type="gramStart"/>
      <w:r>
        <w:t>организации работы органов системы Фонда пенсионного</w:t>
      </w:r>
      <w:proofErr w:type="gramEnd"/>
      <w:r>
        <w:t xml:space="preserve"> и социального страхования Российской Федерации с запросами (формулярами) и документами, поступающими (направляемыми) в целях подтверждения страхового (трудового) стажа в рамках реализации международных договоров Российской Федерации и принятых в их развитие соглашений о применении международных договоров (далее - международные договоры), </w:t>
      </w:r>
      <w:r>
        <w:rPr>
          <w:b/>
        </w:rPr>
        <w:t>приказываю: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6">
        <w:r>
          <w:rPr>
            <w:color w:val="0000FF"/>
          </w:rPr>
          <w:t>Порядок</w:t>
        </w:r>
      </w:hyperlink>
      <w:r>
        <w:t xml:space="preserve"> </w:t>
      </w:r>
      <w:proofErr w:type="gramStart"/>
      <w:r>
        <w:t>организации работы органов системы Фонда пенсионного</w:t>
      </w:r>
      <w:proofErr w:type="gramEnd"/>
      <w:r>
        <w:t xml:space="preserve"> и социального страхования Российской Федерации по подтверждению страхового (трудового) стажа в рамках реализации международных договоров Российской Федерации (далее - </w:t>
      </w:r>
      <w:hyperlink w:anchor="P36">
        <w:r>
          <w:rPr>
            <w:color w:val="0000FF"/>
          </w:rPr>
          <w:t>Порядок</w:t>
        </w:r>
      </w:hyperlink>
      <w:r>
        <w:t>).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2. Департаменту социального обеспечения при переселении и интеграции (Полохов О.М.), Департаменту по вопросам пенсионного обеспечения (Внукова Т.Б.) обеспечить методическое сопровождение деятельности территориальных органов СФР по применению </w:t>
      </w:r>
      <w:hyperlink w:anchor="P36">
        <w:r>
          <w:rPr>
            <w:color w:val="0000FF"/>
          </w:rPr>
          <w:t>Порядка</w:t>
        </w:r>
      </w:hyperlink>
      <w:r>
        <w:t>.</w:t>
      </w:r>
    </w:p>
    <w:p w:rsidR="00DA295F" w:rsidRDefault="00DA295F">
      <w:pPr>
        <w:pStyle w:val="ConsPlusNormal"/>
        <w:jc w:val="both"/>
      </w:pPr>
      <w:r>
        <w:t xml:space="preserve">(в ред. прик. от 02.10.2026 </w:t>
      </w:r>
      <w:hyperlink r:id="rId7">
        <w:r>
          <w:rPr>
            <w:color w:val="0000FF"/>
          </w:rPr>
          <w:t>N 1174</w:t>
        </w:r>
      </w:hyperlink>
      <w:r>
        <w:t>)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3. Признать утратившими силу: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постановление Правления ПФР от 17 июля 2019 г. N </w:t>
      </w:r>
      <w:hyperlink r:id="rId8">
        <w:r>
          <w:rPr>
            <w:color w:val="0000FF"/>
          </w:rPr>
          <w:t>393п</w:t>
        </w:r>
      </w:hyperlink>
      <w:r>
        <w:t xml:space="preserve"> "Об утверждении </w:t>
      </w:r>
      <w:proofErr w:type="gramStart"/>
      <w:r>
        <w:t>Порядка организации работы органов системы</w:t>
      </w:r>
      <w:proofErr w:type="gramEnd"/>
      <w:r>
        <w:t xml:space="preserve"> ПФР по подтверждению страхового (трудового) стажа в рамках реализации международных договоров Российской Федерации";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постановление Правления ПФР от 26 декабря 2019 г. N </w:t>
      </w:r>
      <w:hyperlink r:id="rId9">
        <w:r>
          <w:rPr>
            <w:color w:val="0000FF"/>
          </w:rPr>
          <w:t>735п</w:t>
        </w:r>
      </w:hyperlink>
      <w:r>
        <w:t xml:space="preserve"> "О внесении изменений в Порядок организации работы органов системы ПФР по подтверждению страхового (трудового) стажа в рамках реализации международных договоров Российской Федерации, утвержденный постановлением Правления ПФР от 17 июля 2019 г. N 393п";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постановление Правления ПФР от 27 марта 2020 г. N </w:t>
      </w:r>
      <w:hyperlink r:id="rId10">
        <w:r>
          <w:rPr>
            <w:color w:val="0000FF"/>
          </w:rPr>
          <w:t>218п</w:t>
        </w:r>
      </w:hyperlink>
      <w:r>
        <w:t xml:space="preserve"> "О внесении изменения в Порядок организации работы органов системы ПФР по подтверждению страхового (трудового) стажа в рамках реализации международных договоров Российской Федерации, утвержденный постановлением Правления ПФР от 17 июля 2019 г. N 393п";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постановление Правления ПФР от 1 июня 2022 г. N </w:t>
      </w:r>
      <w:hyperlink r:id="rId11">
        <w:r>
          <w:rPr>
            <w:color w:val="0000FF"/>
          </w:rPr>
          <w:t>95п</w:t>
        </w:r>
      </w:hyperlink>
      <w:r>
        <w:t xml:space="preserve"> "О внесении изменений в Порядок организации работы органов системы ПФР по подтверждению страхового (трудового) стажа в рамках реализации международных договоров Российской Федерации, утвержденный постановлением Правления ПФР от 17 июля 2019 г. N 393п";</w:t>
      </w:r>
    </w:p>
    <w:p w:rsidR="00DA295F" w:rsidRDefault="00DA295F">
      <w:pPr>
        <w:pStyle w:val="ConsPlusNormal"/>
        <w:spacing w:before="220"/>
        <w:ind w:firstLine="540"/>
        <w:jc w:val="both"/>
      </w:pPr>
      <w:proofErr w:type="gramStart"/>
      <w:r>
        <w:t xml:space="preserve">постановление Правления ПФР от 12 октября 2022 г. N </w:t>
      </w:r>
      <w:hyperlink r:id="rId12">
        <w:r>
          <w:rPr>
            <w:color w:val="0000FF"/>
          </w:rPr>
          <w:t>213п</w:t>
        </w:r>
      </w:hyperlink>
      <w:r>
        <w:t xml:space="preserve"> "О внесении изменений в постановление Правления Пенсионного фонда Российской Федерации от 17 июля 2019 г. N 393п "Об утверждении Порядка организации работы органов системы ПФР по подтверждению </w:t>
      </w:r>
      <w:r>
        <w:lastRenderedPageBreak/>
        <w:t>страхового (трудового) стажа в рамках реализации международных договоров Российской Федерации" и в Порядок организации работы органов системы ПФР по подтверждению страхового (трудового) стажа</w:t>
      </w:r>
      <w:proofErr w:type="gramEnd"/>
      <w:r>
        <w:t xml:space="preserve"> в рамках реализации международных договоров Российской Федерации, утвержденный постановлением Правления ПФР от 17 июля 2019 г. N 393п".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заместителей председателя Фонда пенсионного и социального страхования Российской Федерации Чалова А.В. и Семенову М.А.</w:t>
      </w:r>
    </w:p>
    <w:p w:rsidR="00DA295F" w:rsidRDefault="00DA295F">
      <w:pPr>
        <w:pStyle w:val="ConsPlusNormal"/>
        <w:jc w:val="both"/>
      </w:pPr>
      <w:r>
        <w:t xml:space="preserve">(в ред. прик. от 02.10.2026 </w:t>
      </w:r>
      <w:hyperlink r:id="rId13">
        <w:r>
          <w:rPr>
            <w:color w:val="0000FF"/>
          </w:rPr>
          <w:t>N 1174</w:t>
        </w:r>
      </w:hyperlink>
      <w:r>
        <w:t>)</w:t>
      </w:r>
    </w:p>
    <w:p w:rsidR="00DA295F" w:rsidRDefault="00DA295F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DA295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A295F" w:rsidRDefault="00DA295F">
            <w:pPr>
              <w:pStyle w:val="ConsPlusNormal"/>
            </w:pPr>
            <w:r>
              <w:t>Председатель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A295F" w:rsidRDefault="00DA295F">
            <w:pPr>
              <w:pStyle w:val="ConsPlusNormal"/>
              <w:jc w:val="right"/>
            </w:pPr>
            <w:r>
              <w:t>С. Чирков</w:t>
            </w:r>
          </w:p>
        </w:tc>
      </w:tr>
    </w:tbl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right"/>
        <w:outlineLvl w:val="1"/>
      </w:pPr>
      <w:r>
        <w:t>Приложение</w:t>
      </w:r>
    </w:p>
    <w:p w:rsidR="00DA295F" w:rsidRDefault="00DA295F">
      <w:pPr>
        <w:pStyle w:val="ConsPlusNormal"/>
        <w:jc w:val="right"/>
      </w:pPr>
      <w:r>
        <w:t>УТВЕРЖДЕН</w:t>
      </w:r>
    </w:p>
    <w:p w:rsidR="00DA295F" w:rsidRDefault="00DA295F">
      <w:pPr>
        <w:pStyle w:val="ConsPlusNormal"/>
        <w:jc w:val="right"/>
      </w:pPr>
      <w:r>
        <w:t>приказом Фонда пенсионного и социального</w:t>
      </w:r>
    </w:p>
    <w:p w:rsidR="00DA295F" w:rsidRDefault="00DA295F">
      <w:pPr>
        <w:pStyle w:val="ConsPlusNormal"/>
        <w:jc w:val="right"/>
      </w:pPr>
      <w:r>
        <w:t>страхования Российской Федерации</w:t>
      </w:r>
    </w:p>
    <w:p w:rsidR="00DA295F" w:rsidRDefault="00DA295F">
      <w:pPr>
        <w:pStyle w:val="ConsPlusNormal"/>
        <w:jc w:val="right"/>
      </w:pPr>
      <w:r>
        <w:t>от 13 июля 2023 г. N 1375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Title"/>
        <w:jc w:val="center"/>
      </w:pPr>
      <w:bookmarkStart w:id="0" w:name="P36"/>
      <w:bookmarkEnd w:id="0"/>
      <w:r>
        <w:t>Порядок</w:t>
      </w:r>
    </w:p>
    <w:p w:rsidR="00DA295F" w:rsidRDefault="00DA295F">
      <w:pPr>
        <w:pStyle w:val="ConsPlusTitle"/>
        <w:jc w:val="center"/>
      </w:pPr>
      <w:r>
        <w:t>организации работы органов системы Фонда пенсионного и социального страхования Российской Федерации по подтверждению страхового (трудового) стажа в рамках реализации международных договоров Российской Федерации</w:t>
      </w:r>
    </w:p>
    <w:p w:rsidR="00DA295F" w:rsidRDefault="00DA295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A295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295F" w:rsidRDefault="00DA295F">
            <w:pPr>
              <w:pStyle w:val="ConsPlusNormal"/>
              <w:jc w:val="center"/>
            </w:pPr>
            <w:r>
              <w:rPr>
                <w:color w:val="392C69"/>
              </w:rPr>
              <w:t xml:space="preserve">(изм. прик. от 02.10.2026 N </w:t>
            </w:r>
            <w:hyperlink r:id="rId14">
              <w:r>
                <w:rPr>
                  <w:color w:val="0000FF"/>
                </w:rPr>
                <w:t>1174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</w:tr>
    </w:tbl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center"/>
        <w:outlineLvl w:val="2"/>
      </w:pPr>
      <w:r>
        <w:t>I. Общие положения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1. Настоящий </w:t>
      </w:r>
      <w:hyperlink w:anchor="P36">
        <w:r>
          <w:rPr>
            <w:color w:val="0000FF"/>
          </w:rPr>
          <w:t>Порядок</w:t>
        </w:r>
      </w:hyperlink>
      <w:r>
        <w:t xml:space="preserve"> разработан в целях организации работы органов системы СФР в рамках реализации международных договоров Российской Федерации (далее - международные договоры) в части подтверждения страхового (трудового) стажа, приобретенного на территории Российской Федерации и на территории государств-контрагентов.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В рамках реализации международных договоров направление запросов в компетентные органы (учреждения) государств-контрагентов с целью подтверждения обоснованности выдачи документов о стаже, приобретенном на территориях государств-контрагентов, истребование документов о стаже, а также обработка запросов (формуляров), поступивших от компетентных органов (учреждений) государств-контрагентов с целью подтверждения страхового (трудового) стажа, приобретенного на территории Российской Федерации, и направление в указанные органы (учреждения) информации (формуляров) о подтверждении</w:t>
      </w:r>
      <w:proofErr w:type="gramEnd"/>
      <w:r>
        <w:t xml:space="preserve"> страхового (трудового) стажа (документов о стаже) осуществляются территориальными органами СФР в соответствии с настоящим </w:t>
      </w:r>
      <w:hyperlink w:anchor="P36">
        <w:r>
          <w:rPr>
            <w:color w:val="0000FF"/>
          </w:rPr>
          <w:t>Порядком</w:t>
        </w:r>
      </w:hyperlink>
      <w:r>
        <w:t>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center"/>
        <w:outlineLvl w:val="2"/>
      </w:pPr>
      <w:r>
        <w:t>II. Организация работы органов системы СФР по реализации международных договоров (соглашений), основанных на принципе пропорциональности, в части подтверждения страхового (трудового) стажа и взаимодействия в этих целях с компетентным органом (учреждением) государства-контрагента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Взаимодействие с компетентным органом государства-контрагента по вопросам пенсионного обеспечения лиц, проживающих на территории государства-контрагента, а также </w:t>
      </w:r>
      <w:r>
        <w:lastRenderedPageBreak/>
        <w:t xml:space="preserve">переселившихся на постоянное жительство на его территорию с территории Российской Федерации, осуществляется отделениями СФР, на которые в соответствии с приказом СФР возложены полномочия по реализации соответствующего международного договора, согласно </w:t>
      </w:r>
      <w:hyperlink w:anchor="P101">
        <w:r>
          <w:rPr>
            <w:color w:val="0000FF"/>
          </w:rPr>
          <w:t>приложению 1</w:t>
        </w:r>
      </w:hyperlink>
      <w:r>
        <w:t xml:space="preserve"> к настоящему </w:t>
      </w:r>
      <w:hyperlink w:anchor="P36">
        <w:r>
          <w:rPr>
            <w:color w:val="0000FF"/>
          </w:rPr>
          <w:t>Порядку</w:t>
        </w:r>
      </w:hyperlink>
      <w:r>
        <w:t xml:space="preserve"> (далее - уполномоченное отделение СФР).</w:t>
      </w:r>
      <w:proofErr w:type="gramEnd"/>
    </w:p>
    <w:p w:rsidR="00DA295F" w:rsidRDefault="00DA295F">
      <w:pPr>
        <w:pStyle w:val="ConsPlusNormal"/>
        <w:spacing w:before="220"/>
        <w:ind w:firstLine="540"/>
        <w:jc w:val="both"/>
      </w:pPr>
      <w:r>
        <w:t>4. При поступлении запроса компетентного органа государства-контрагента о подтверждении периодов страхового (трудового) стажа в соответствии с договором (соглашением) уполномоченным отделением СФР осуществляется: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регистрация запросов (формуляров, документов) не позднее одного рабочего дня, следующего за днем их поступления;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проверка правильности заполнения запроса (формуляра) и наличия приложений к нему (возврат формуляра (документов) в компетентный орган государства-контрагента, при необходимости дооформления);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обработка запроса (формуляра, документов);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истребование подтверждающих документов на территории Российской Федерации в соответствующих органах (архивных учреждениях), в том числе в территориальном органе СФР, которым ранее была установлена пенсия по законодательству Российской Федерации;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оформление формуляра о страховом (трудовом) стаже (по форме, установленной соответствующим договором (соглашением);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направление запроса (формуляра, документов) в адрес компетентного органа государства-контрагента в сроки, предусмотренные договором (соглашением).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Подтверждение периодов работы и (или) иной деятельности и иных периодов, предусмотренных законодательством Российской Федерации, до регистрации гражданина в качестве застрахованного лица в соответствии с Федеральным законом от 1 апреля 1996 г. N </w:t>
      </w:r>
      <w:hyperlink r:id="rId15">
        <w:r>
          <w:rPr>
            <w:color w:val="0000FF"/>
          </w:rPr>
          <w:t>27-ФЗ</w:t>
        </w:r>
      </w:hyperlink>
      <w:r>
        <w:t xml:space="preserve"> "Об индивидуальном (персонифицированном) учете в системе обязательного пенсионного страхования" осуществляется на основании сведений индивидуального (персонифицированного) учета за указанный период и (или) документов, выдаваемых работодателями или соответствующими государственными</w:t>
      </w:r>
      <w:proofErr w:type="gramEnd"/>
      <w:r>
        <w:t xml:space="preserve"> (муниципальными) органами, а периоды после регистрации - на основании сведений индивидуального (персонифицированного) учета.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6. Исходя из содержания поступившего запроса (формуляра) к направляемому в ответ запросу (формуляру) могут быть приложены дополнительные документы.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В случае невозможности подтверждения страхового (трудового) стажа или отдельных его периодов в направляемом запросе (формуляре) указываются причины.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7. Подтверждение периодов страхового (трудового) стажа лиц, проживающих на территории Российской Федерации, а также переселившихся на постоянное жительство на ее территорию с территории государства-контрагента, осуществляется территориальными органами СФР по месту жительства этих лиц. В указанных целях территориальные органы СФР самостоятельно взаимодействуют с компетентным органом государства-контрагента.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В целях подтверждения страхового (трудового) стажа территориальные органы СФР по месту жительства указанных лиц направляют запрос (формуляр) в компетентный орган, направивший запрос (формуляр) в соответствии с формой, установленной международным договором (соглашением).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center"/>
        <w:outlineLvl w:val="2"/>
      </w:pPr>
      <w:r>
        <w:t xml:space="preserve">III. Организация работы территориальных органов СФР по реализации международных соглашений, основанных на территориальном принципе, в части подтверждения страхового </w:t>
      </w:r>
      <w:r>
        <w:lastRenderedPageBreak/>
        <w:t>(трудового) стажа и взаимодействия в этих целях с компетентным органом (учреждением) государства-контрагента в отношениях с Литвой, Молдовой и Грузией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8. </w:t>
      </w:r>
      <w:proofErr w:type="gramStart"/>
      <w:r>
        <w:t xml:space="preserve">Оказание содействия в получении документов (обоснованности выдачи документов) о страховом (трудовом) стаже, приобретенном на территории Российской Федерации, в отношении граждан, проживающих на территории государства-контрагента (за исключением граждан, проживающих на территории Литовской Республики), в рамках реализации международных соглашений согласно </w:t>
      </w:r>
      <w:hyperlink w:anchor="P156">
        <w:r>
          <w:rPr>
            <w:color w:val="0000FF"/>
          </w:rPr>
          <w:t>приложению 2</w:t>
        </w:r>
      </w:hyperlink>
      <w:r>
        <w:t xml:space="preserve"> к настоящему </w:t>
      </w:r>
      <w:hyperlink w:anchor="P36">
        <w:r>
          <w:rPr>
            <w:color w:val="0000FF"/>
          </w:rPr>
          <w:t>Порядку</w:t>
        </w:r>
      </w:hyperlink>
      <w:r>
        <w:t xml:space="preserve">, а также направление запросов по оказанию содействия в получении документов (обоснованности выдачи документов) о страховом (трудовом) </w:t>
      </w:r>
      <w:hyperlink w:anchor="P73">
        <w:r>
          <w:rPr>
            <w:color w:val="0000FF"/>
          </w:rPr>
          <w:t>стаже</w:t>
        </w:r>
        <w:proofErr w:type="gramEnd"/>
      </w:hyperlink>
      <w:hyperlink w:anchor="P73">
        <w:proofErr w:type="gramStart"/>
        <w:r>
          <w:rPr>
            <w:color w:val="0000FF"/>
            <w:vertAlign w:val="superscript"/>
          </w:rPr>
          <w:t>1</w:t>
        </w:r>
      </w:hyperlink>
      <w:r>
        <w:t>, приобретенном на территории государства-контрагента, в отношении граждан, проживающих в Российской Федерации, осуществляются территориальными органами СФР.</w:t>
      </w:r>
      <w:proofErr w:type="gramEnd"/>
    </w:p>
    <w:p w:rsidR="00DA295F" w:rsidRDefault="00DA295F">
      <w:pPr>
        <w:pStyle w:val="ConsPlusNormal"/>
        <w:spacing w:before="220"/>
        <w:ind w:firstLine="540"/>
        <w:jc w:val="both"/>
      </w:pPr>
      <w:r>
        <w:t>9. При поступлении запроса компетентного органа государства-контрагента о содействии в получении документов (подтверждении обоснованности выдачи документов) о страховом (трудовом) стаже территориальным органом СФР осуществляется: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регистрация запросов (документов) не позднее одного рабочего дня, следующего за днем их поступления;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обработка запроса (формуляра, документов);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истребование подтверждающих документов в соответствующих органах (архивных учреждениях) Российской Федерации или от работодателя;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перенаправление запроса по принадлежности в другой территориальный орган СФР;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направление соответствующей информации (документов) в адрес компетентного органа государства-контрагента в сроки, предусмотренные законодательством Российской Федерации.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10. В случае поступления запроса в территориальный орган СФР не по месту нахождения организации, в отношении которой необходимо осуществить представление документов (подтверждение обоснованности их выдачи), запрос направляется для исполнения по принадлежности в соответствующий территориальный орган СФР.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________________________________________________</w:t>
      </w:r>
    </w:p>
    <w:p w:rsidR="00DA295F" w:rsidRDefault="00DA295F">
      <w:pPr>
        <w:pStyle w:val="ConsPlusNormal"/>
        <w:spacing w:before="220"/>
        <w:ind w:firstLine="540"/>
        <w:jc w:val="both"/>
      </w:pPr>
      <w:bookmarkStart w:id="1" w:name="P73"/>
      <w:bookmarkEnd w:id="1"/>
      <w:r>
        <w:rPr>
          <w:vertAlign w:val="superscript"/>
        </w:rPr>
        <w:t>1</w:t>
      </w:r>
      <w:r>
        <w:rPr>
          <w:vertAlign w:val="subscript"/>
        </w:rPr>
        <w:t>При необходимости, направление запросов по оказанию содействия в получении документов (обоснованности выдачи документов) о заработной плате граждан осуществляется в аналогичном порядке.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center"/>
        <w:outlineLvl w:val="2"/>
      </w:pPr>
      <w:r>
        <w:t>IV. Организация работы уполномоченного отделения СФР по реализации международных соглашений, основанных на территориальном принципе, в части подтверждения страхового (трудового) стажа и взаимодействия в этих целях с компетентным органом (учреждением) государства-контрагента в отношениях с Румынией, Монголией и Словакией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11. </w:t>
      </w:r>
      <w:proofErr w:type="gramStart"/>
      <w:r>
        <w:t xml:space="preserve">Подтверждение страхового (трудового) стажа, приобретенного на территории Российской Федерации, в отношении граждан, проживающих на территории государства-контрагента, а также направление запросов по подтверждению стажа, приобретенного на территории государства-контрагента, в отношении граждан, проживающих в Российской Федерации, осуществляются Отделением СФР по Республике Бурятия (далее - Отделение СФР), на которое приказом СФР возложены полномочия по реализации соответствующих международных соглашений, согласно </w:t>
      </w:r>
      <w:hyperlink w:anchor="P176">
        <w:r>
          <w:rPr>
            <w:color w:val="0000FF"/>
          </w:rPr>
          <w:t>приложению 3</w:t>
        </w:r>
      </w:hyperlink>
      <w:r>
        <w:t xml:space="preserve"> к настоящему </w:t>
      </w:r>
      <w:hyperlink w:anchor="P36">
        <w:r>
          <w:rPr>
            <w:color w:val="0000FF"/>
          </w:rPr>
          <w:t>Порядку</w:t>
        </w:r>
        <w:proofErr w:type="gramEnd"/>
      </w:hyperlink>
      <w:r>
        <w:t>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12. При поступлении запросов о подтверждении страхового (трудового) стажа из компетентного органа государства-контрагента, Отделением СФР осуществляется: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регистрация запросов не позднее одного рабочего дня, следующего за днем их </w:t>
      </w:r>
      <w:r>
        <w:lastRenderedPageBreak/>
        <w:t>поступления;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обработка запроса;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истребование подтверждающих документов на территории Российской Федерации в соответствующих органах (архивных учреждениях) или от работодателя, в том числе через территориальные органы СФР других субъектов Российской Федерации, где протекала трудовая (иная) деятельность гражданина;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направление информации в адрес компетентного органа государства-контрагента в сроки, предусмотренные законодательством Российской Федерации.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13. В случае поступления из территориального органа СФР запроса об оказании содействия и необходимых документов в целях подтверждения периодов страхового (трудового) стажа, приобретенного на территории государства-контрагента гражданами, проживающими в Российской Федерации, Отделение СФР направляет запрос о подтверждении страхового (трудового) стажа с приложением всех документов в компетентный орган государства-контрагента.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При поступлении информации из компетентного органа государства-контрагента Отделение СФР перенаправляет документ о страховом (трудовом) стаже или информацию о невозможности подтверждения тех или иных периодов в территориальный орган СФР, направивший запрос.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center"/>
        <w:outlineLvl w:val="2"/>
      </w:pPr>
      <w:r>
        <w:t xml:space="preserve">V. Организация работы уполномоченного отделения СФР по реализации Соглашения между Правительством Российской Федерации и Правительством Литовской Республики о пенсионном обеспечении от 29 июня 1999 </w:t>
      </w:r>
      <w:hyperlink w:anchor="P95">
        <w:r>
          <w:rPr>
            <w:color w:val="0000FF"/>
          </w:rPr>
          <w:t>года</w:t>
        </w:r>
      </w:hyperlink>
      <w:hyperlink w:anchor="P95">
        <w:r>
          <w:rPr>
            <w:color w:val="0000FF"/>
            <w:vertAlign w:val="superscript"/>
          </w:rPr>
          <w:t>2</w:t>
        </w:r>
      </w:hyperlink>
      <w:r>
        <w:t xml:space="preserve"> в части подтверждения страхового (трудового) стажа, приобретенного на территории Российской Федерации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14. Подтверждение страхового (трудового) стажа, приобретенного на территории Российской Федерации, в отношении граждан, проживающих на территории Литовской Республики, осуществляется Отделением СФР по Калининградской области (далее - Отделение СФР), на которое приказом СФР возложены полномочия по реализации </w:t>
      </w:r>
      <w:hyperlink r:id="rId16">
        <w:r>
          <w:rPr>
            <w:color w:val="0000FF"/>
          </w:rPr>
          <w:t>Соглашения</w:t>
        </w:r>
      </w:hyperlink>
      <w:r>
        <w:t xml:space="preserve"> с Литвой.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15. При поступлении запросов о подтверждении страхового (трудового) стажа из компетентного органа (учреждения) государства-контрагента Отделением СФР осуществляются: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регистрация запросов не позднее одного рабочего дня, следующего за днем их поступления;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обработка запроса;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истребование подтверждающих документов на территории Российской Федерации в соответствующих органах (архивных учреждениях) или от работодателя, в том числе через территориальные органы СФР других субъектов Российской Федерации, где протекала трудовая (иная) деятельность гражданина;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направление информации в адрес компетентного органа (учреждения) государства-контрагента в сроки, предусмотренные законодательством Российской Федерации.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>____________________________________</w:t>
      </w:r>
    </w:p>
    <w:p w:rsidR="00DA295F" w:rsidRDefault="00DA295F">
      <w:pPr>
        <w:pStyle w:val="ConsPlusNormal"/>
        <w:spacing w:before="220"/>
        <w:ind w:firstLine="540"/>
        <w:jc w:val="both"/>
      </w:pPr>
      <w:bookmarkStart w:id="2" w:name="P95"/>
      <w:bookmarkEnd w:id="2"/>
      <w:r>
        <w:rPr>
          <w:vertAlign w:val="superscript"/>
        </w:rPr>
        <w:t>2</w:t>
      </w:r>
      <w:r>
        <w:rPr>
          <w:vertAlign w:val="subscript"/>
        </w:rPr>
        <w:t xml:space="preserve">Далее - </w:t>
      </w:r>
      <w:hyperlink r:id="rId17">
        <w:r>
          <w:rPr>
            <w:color w:val="0000FF"/>
            <w:vertAlign w:val="subscript"/>
          </w:rPr>
          <w:t>Соглашение</w:t>
        </w:r>
      </w:hyperlink>
      <w:r>
        <w:rPr>
          <w:vertAlign w:val="subscript"/>
        </w:rPr>
        <w:t xml:space="preserve"> с Литвой.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right"/>
        <w:outlineLvl w:val="3"/>
      </w:pPr>
      <w:bookmarkStart w:id="3" w:name="P101"/>
      <w:bookmarkEnd w:id="3"/>
      <w:r>
        <w:t>Приложение N 1</w:t>
      </w:r>
    </w:p>
    <w:p w:rsidR="00DA295F" w:rsidRDefault="00DA295F">
      <w:pPr>
        <w:pStyle w:val="ConsPlusNormal"/>
        <w:jc w:val="right"/>
      </w:pPr>
      <w:r>
        <w:t>к Порядку организации работы органов системы</w:t>
      </w:r>
    </w:p>
    <w:p w:rsidR="00DA295F" w:rsidRDefault="00DA295F">
      <w:pPr>
        <w:pStyle w:val="ConsPlusNormal"/>
        <w:jc w:val="right"/>
      </w:pPr>
      <w:r>
        <w:t>Фонда пенсионного и социального</w:t>
      </w:r>
    </w:p>
    <w:p w:rsidR="00DA295F" w:rsidRDefault="00DA295F">
      <w:pPr>
        <w:pStyle w:val="ConsPlusNormal"/>
        <w:jc w:val="right"/>
      </w:pPr>
      <w:r>
        <w:t>страхования Российской Федерации</w:t>
      </w:r>
    </w:p>
    <w:p w:rsidR="00DA295F" w:rsidRDefault="00DA295F">
      <w:pPr>
        <w:pStyle w:val="ConsPlusNormal"/>
        <w:jc w:val="right"/>
      </w:pPr>
      <w:r>
        <w:t>по подтверждению страхового (трудового) стажа</w:t>
      </w:r>
    </w:p>
    <w:p w:rsidR="00DA295F" w:rsidRDefault="00DA295F">
      <w:pPr>
        <w:pStyle w:val="ConsPlusNormal"/>
        <w:jc w:val="right"/>
      </w:pPr>
      <w:r>
        <w:t>в рамках реализации международных договоров</w:t>
      </w:r>
    </w:p>
    <w:p w:rsidR="00DA295F" w:rsidRDefault="00DA295F">
      <w:pPr>
        <w:pStyle w:val="ConsPlusNormal"/>
        <w:jc w:val="right"/>
      </w:pPr>
      <w:r>
        <w:t>Российской Федерации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Title"/>
        <w:jc w:val="center"/>
      </w:pPr>
      <w:r>
        <w:t>Перечень</w:t>
      </w:r>
    </w:p>
    <w:p w:rsidR="00DA295F" w:rsidRDefault="00DA295F">
      <w:pPr>
        <w:pStyle w:val="ConsPlusTitle"/>
        <w:jc w:val="center"/>
      </w:pPr>
      <w:r>
        <w:t>отделений СФР, на которые возложены полномочия по реализации международных договоров, основанных на пропорциональном принципе, в части подтверждения страхового (трудового) стажа и взаимодействия в этих целях с компетентным органом (учреждением) государства-контрагента</w:t>
      </w:r>
    </w:p>
    <w:p w:rsidR="00DA295F" w:rsidRDefault="00DA295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A295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A295F" w:rsidRDefault="00DA295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прик. от 02.10.2026 N </w:t>
            </w:r>
            <w:hyperlink r:id="rId18">
              <w:r>
                <w:rPr>
                  <w:color w:val="0000FF"/>
                </w:rPr>
                <w:t>1174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A295F" w:rsidRDefault="00DA295F">
            <w:pPr>
              <w:pStyle w:val="ConsPlusNormal"/>
            </w:pPr>
          </w:p>
        </w:tc>
      </w:tr>
    </w:tbl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sectPr w:rsidR="00DA295F" w:rsidSect="00BF48A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9808"/>
      </w:tblGrid>
      <w:tr w:rsidR="00DA295F">
        <w:tc>
          <w:tcPr>
            <w:tcW w:w="3742" w:type="dxa"/>
            <w:vAlign w:val="center"/>
          </w:tcPr>
          <w:p w:rsidR="00DA295F" w:rsidRDefault="00DA295F">
            <w:pPr>
              <w:pStyle w:val="ConsPlusNormal"/>
              <w:jc w:val="center"/>
            </w:pPr>
            <w:r>
              <w:lastRenderedPageBreak/>
              <w:t>Уполномоченное отделение СФР</w:t>
            </w:r>
          </w:p>
        </w:tc>
        <w:tc>
          <w:tcPr>
            <w:tcW w:w="9808" w:type="dxa"/>
            <w:vAlign w:val="center"/>
          </w:tcPr>
          <w:p w:rsidR="00DA295F" w:rsidRDefault="00DA295F">
            <w:pPr>
              <w:pStyle w:val="ConsPlusNormal"/>
              <w:jc w:val="center"/>
            </w:pPr>
            <w:r>
              <w:t>Реквизиты международного договора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Псковской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19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Латвийской Республикой о сотрудничестве в области социального обеспечения от 18 декабря 2007 года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Новгородской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0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Республикой Сербией о социальном обеспечении от 19 декабря 2017 года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Санкт-Петербургу и Ленинградской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1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Эстонской Республикой о сотрудничестве в области пенсионного обеспечения от 14 июля 2011 года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Ханты-Мансийскому автономному округу - Югре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2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Республикой Беларусь о сотрудничестве в области социального обеспечения от 24 января 2006 года;</w:t>
            </w:r>
          </w:p>
          <w:p w:rsidR="00DA295F" w:rsidRDefault="00DA295F">
            <w:pPr>
              <w:pStyle w:val="ConsPlusNormal"/>
            </w:pPr>
            <w:hyperlink r:id="rId23">
              <w:r>
                <w:rPr>
                  <w:color w:val="0000FF"/>
                </w:rPr>
                <w:t>Соглашение</w:t>
              </w:r>
            </w:hyperlink>
            <w:r>
              <w:t xml:space="preserve"> о пенсионном обеспечении трудящихся государств - членов Евразийского экономического союза от 20 декабря 2019 года (в отношении лиц, проживающих на территории Республики Беларусь)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Белгородской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4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Республикой Болгарией о социальном обеспечении от 27 февраля 2009 года;</w:t>
            </w:r>
          </w:p>
          <w:p w:rsidR="00DA295F" w:rsidRDefault="00DA295F">
            <w:pPr>
              <w:pStyle w:val="ConsPlusNormal"/>
            </w:pPr>
            <w:hyperlink r:id="rId25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Королевством Испания о социальном обеспечении от 11 апреля 1994 года;</w:t>
            </w:r>
          </w:p>
          <w:p w:rsidR="00DA295F" w:rsidRDefault="00DA295F">
            <w:pPr>
              <w:pStyle w:val="ConsPlusNormal"/>
            </w:pPr>
            <w:hyperlink r:id="rId26">
              <w:r>
                <w:rPr>
                  <w:color w:val="0000FF"/>
                </w:rPr>
                <w:t>Соглашение</w:t>
              </w:r>
            </w:hyperlink>
            <w:r>
              <w:t xml:space="preserve"> о социальном обеспечении между Российской Федерацией и Восточной Республикой Уругвай от 22 сентября 2021 </w:t>
            </w:r>
            <w:hyperlink w:anchor="P149">
              <w:r>
                <w:rPr>
                  <w:color w:val="0000FF"/>
                </w:rPr>
                <w:t>года</w:t>
              </w:r>
            </w:hyperlink>
            <w:hyperlink w:anchor="P149">
              <w:r>
                <w:rPr>
                  <w:color w:val="0000FF"/>
                  <w:vertAlign w:val="superscript"/>
                </w:rPr>
                <w:t>*</w:t>
              </w:r>
            </w:hyperlink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Тульской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7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Государством Израиль о сотрудничестве в области социального обеспечения от 6 июня 2016 года</w:t>
            </w:r>
          </w:p>
        </w:tc>
      </w:tr>
      <w:tr w:rsidR="00DA295F">
        <w:tc>
          <w:tcPr>
            <w:tcW w:w="13550" w:type="dxa"/>
            <w:gridSpan w:val="2"/>
          </w:tcPr>
          <w:p w:rsidR="00DA295F" w:rsidRDefault="00DA295F">
            <w:pPr>
              <w:pStyle w:val="ConsPlusNormal"/>
            </w:pPr>
            <w:r>
              <w:t>Строка исключена.</w:t>
            </w:r>
          </w:p>
          <w:p w:rsidR="00DA295F" w:rsidRDefault="00DA295F">
            <w:pPr>
              <w:pStyle w:val="ConsPlusNormal"/>
              <w:jc w:val="both"/>
            </w:pPr>
            <w:r>
              <w:t xml:space="preserve">(искл. прик. от 02.10.2026 </w:t>
            </w:r>
            <w:hyperlink r:id="rId28">
              <w:r>
                <w:rPr>
                  <w:color w:val="0000FF"/>
                </w:rPr>
                <w:t>N 1174</w:t>
              </w:r>
            </w:hyperlink>
            <w:r>
              <w:t>)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Пензенской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29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Чешской Республикой о социальном обеспечении от 8 декабря 2011 года;</w:t>
            </w:r>
          </w:p>
          <w:p w:rsidR="00DA295F" w:rsidRDefault="00DA295F">
            <w:pPr>
              <w:pStyle w:val="ConsPlusNormal"/>
            </w:pPr>
            <w:hyperlink r:id="rId30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Венгрией о социальном обеспечении от 30 октября 2019 года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lastRenderedPageBreak/>
              <w:t>ОСФР по Республике Татарстан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31">
              <w:r>
                <w:rPr>
                  <w:color w:val="0000FF"/>
                </w:rPr>
                <w:t>Соглашение</w:t>
              </w:r>
            </w:hyperlink>
            <w:r>
              <w:t xml:space="preserve"> о пенсионном обеспечении трудящихся государств - членов Евразийского экономического союза от 20 декабря 2019 года (в отношении лиц, проживающих на территории Республики Казахстан)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Ставропольскому краю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32">
              <w:r>
                <w:rPr>
                  <w:color w:val="0000FF"/>
                </w:rPr>
                <w:t>Соглашение</w:t>
              </w:r>
            </w:hyperlink>
            <w:r>
              <w:t xml:space="preserve"> о пенсионном обеспечении трудящихся государств - членов Евразийского экономического союза от 20 декабря 2019 года (в отношении лиц, проживающих на территории Республики Армения)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Вологодской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33">
              <w:r>
                <w:rPr>
                  <w:color w:val="0000FF"/>
                </w:rPr>
                <w:t>Соглашение</w:t>
              </w:r>
            </w:hyperlink>
            <w:r>
              <w:t xml:space="preserve"> о пенсионном обеспечении трудящихся государств - членов Евразийского экономического союза от 20 декабря 2019 года (в отношении лиц, проживающих на территории Кыргызской Республики)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Костромской области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34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Республикой Таджикистан о сотрудничестве в области пенсионного обеспечения от 15 сентября 2021 года</w:t>
            </w:r>
          </w:p>
        </w:tc>
      </w:tr>
      <w:tr w:rsidR="00DA295F">
        <w:tc>
          <w:tcPr>
            <w:tcW w:w="3742" w:type="dxa"/>
          </w:tcPr>
          <w:p w:rsidR="00DA295F" w:rsidRDefault="00DA295F">
            <w:pPr>
              <w:pStyle w:val="ConsPlusNormal"/>
            </w:pPr>
            <w:r>
              <w:t>ОСФР по Республике Мордовия</w:t>
            </w:r>
          </w:p>
        </w:tc>
        <w:tc>
          <w:tcPr>
            <w:tcW w:w="9808" w:type="dxa"/>
          </w:tcPr>
          <w:p w:rsidR="00DA295F" w:rsidRDefault="00DA295F">
            <w:pPr>
              <w:pStyle w:val="ConsPlusNormal"/>
            </w:pPr>
            <w:hyperlink r:id="rId35">
              <w:r>
                <w:rPr>
                  <w:color w:val="0000FF"/>
                </w:rPr>
                <w:t>Договор</w:t>
              </w:r>
            </w:hyperlink>
            <w:r>
              <w:t xml:space="preserve"> между Российской Федерацией и Азербайджанской Республикой о сотрудничестве в области пенсионного обеспечения от 26 апреля 2022 </w:t>
            </w:r>
            <w:hyperlink w:anchor="P150">
              <w:r>
                <w:rPr>
                  <w:color w:val="0000FF"/>
                </w:rPr>
                <w:t>года</w:t>
              </w:r>
            </w:hyperlink>
            <w:hyperlink w:anchor="P150">
              <w:r>
                <w:rPr>
                  <w:color w:val="0000FF"/>
                  <w:vertAlign w:val="superscript"/>
                </w:rPr>
                <w:t>**</w:t>
              </w:r>
            </w:hyperlink>
          </w:p>
        </w:tc>
      </w:tr>
    </w:tbl>
    <w:p w:rsidR="00DA295F" w:rsidRDefault="00DA295F">
      <w:pPr>
        <w:pStyle w:val="ConsPlusNormal"/>
        <w:sectPr w:rsidR="00DA295F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>_____________________________________</w:t>
      </w:r>
    </w:p>
    <w:p w:rsidR="00DA295F" w:rsidRDefault="00DA295F">
      <w:pPr>
        <w:pStyle w:val="ConsPlusNormal"/>
        <w:spacing w:before="220"/>
        <w:ind w:firstLine="540"/>
        <w:jc w:val="both"/>
      </w:pPr>
      <w:bookmarkStart w:id="4" w:name="P149"/>
      <w:bookmarkEnd w:id="4"/>
      <w:r>
        <w:rPr>
          <w:vertAlign w:val="superscript"/>
        </w:rPr>
        <w:t>*</w:t>
      </w:r>
      <w:r>
        <w:rPr>
          <w:vertAlign w:val="subscript"/>
        </w:rPr>
        <w:t>Полномочия осуществляет ОСФР после вступления в силу Соглашения о социальном обеспечении между Российской Федерацией и Восточной Республикой Уругвай от 22 сентября 2021 года.</w:t>
      </w:r>
    </w:p>
    <w:p w:rsidR="00DA295F" w:rsidRDefault="00DA295F">
      <w:pPr>
        <w:pStyle w:val="ConsPlusNormal"/>
        <w:spacing w:before="220"/>
        <w:ind w:firstLine="540"/>
        <w:jc w:val="both"/>
      </w:pPr>
      <w:bookmarkStart w:id="5" w:name="P150"/>
      <w:bookmarkEnd w:id="5"/>
      <w:r>
        <w:rPr>
          <w:vertAlign w:val="superscript"/>
        </w:rPr>
        <w:t>**</w:t>
      </w:r>
      <w:r>
        <w:rPr>
          <w:vertAlign w:val="subscript"/>
        </w:rPr>
        <w:t>Полномочия осуществляет ОСФР после вступления в силу Договора между Российской Федерацией и Азербайджанской Республикой о сотрудничестве в области пенсионного обеспечения от 26 апреля 2022 года.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right"/>
        <w:outlineLvl w:val="3"/>
      </w:pPr>
      <w:bookmarkStart w:id="6" w:name="P156"/>
      <w:bookmarkEnd w:id="6"/>
      <w:r>
        <w:t>Приложение N 2</w:t>
      </w:r>
    </w:p>
    <w:p w:rsidR="00DA295F" w:rsidRDefault="00DA295F">
      <w:pPr>
        <w:pStyle w:val="ConsPlusNormal"/>
        <w:jc w:val="right"/>
      </w:pPr>
      <w:r>
        <w:t>к Порядку организации работы органов системы</w:t>
      </w:r>
    </w:p>
    <w:p w:rsidR="00DA295F" w:rsidRDefault="00DA295F">
      <w:pPr>
        <w:pStyle w:val="ConsPlusNormal"/>
        <w:jc w:val="right"/>
      </w:pPr>
      <w:r>
        <w:t>Фонда пенсионного и социального</w:t>
      </w:r>
    </w:p>
    <w:p w:rsidR="00DA295F" w:rsidRDefault="00DA295F">
      <w:pPr>
        <w:pStyle w:val="ConsPlusNormal"/>
        <w:jc w:val="right"/>
      </w:pPr>
      <w:r>
        <w:t>страхования Российской Федерации</w:t>
      </w:r>
    </w:p>
    <w:p w:rsidR="00DA295F" w:rsidRDefault="00DA295F">
      <w:pPr>
        <w:pStyle w:val="ConsPlusNormal"/>
        <w:jc w:val="right"/>
      </w:pPr>
      <w:r>
        <w:t>по подтверждению страхового (трудового) стажа</w:t>
      </w:r>
    </w:p>
    <w:p w:rsidR="00DA295F" w:rsidRDefault="00DA295F">
      <w:pPr>
        <w:pStyle w:val="ConsPlusNormal"/>
        <w:jc w:val="right"/>
      </w:pPr>
      <w:r>
        <w:t>в рамках реализации международных договоров</w:t>
      </w:r>
    </w:p>
    <w:p w:rsidR="00DA295F" w:rsidRDefault="00DA295F">
      <w:pPr>
        <w:pStyle w:val="ConsPlusNormal"/>
        <w:jc w:val="right"/>
      </w:pPr>
      <w:r>
        <w:t>Российской Федерации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Title"/>
        <w:jc w:val="center"/>
      </w:pPr>
      <w:r>
        <w:t>Перечень</w:t>
      </w:r>
    </w:p>
    <w:p w:rsidR="00DA295F" w:rsidRDefault="00DA295F">
      <w:pPr>
        <w:pStyle w:val="ConsPlusTitle"/>
        <w:jc w:val="center"/>
      </w:pPr>
      <w:r>
        <w:t xml:space="preserve">международных соглашений (договоров), основанных на территориальном принципе, в отношениях Литвой, Молдовой и Грузией, полномочия по </w:t>
      </w:r>
      <w:proofErr w:type="gramStart"/>
      <w:r>
        <w:t>реализации</w:t>
      </w:r>
      <w:proofErr w:type="gramEnd"/>
      <w:r>
        <w:t xml:space="preserve"> которых в части подтверждения страхового (трудового) стажа и взаимодействия в этих целях с компетентным органом (учреждением) государства-контрагента возложены на территориальные органы СФР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1. </w:t>
      </w:r>
      <w:hyperlink r:id="rId36">
        <w:r>
          <w:rPr>
            <w:color w:val="0000FF"/>
          </w:rPr>
          <w:t>Соглашение</w:t>
        </w:r>
      </w:hyperlink>
      <w:r>
        <w:t xml:space="preserve"> между Правительством Российской Федерации и Правительством Литовской Республики о пенсионном обеспечении от 29 июня 1999 года.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2. </w:t>
      </w:r>
      <w:hyperlink r:id="rId37">
        <w:r>
          <w:rPr>
            <w:color w:val="0000FF"/>
          </w:rPr>
          <w:t>Соглашение</w:t>
        </w:r>
      </w:hyperlink>
      <w:r>
        <w:t xml:space="preserve"> между Правительством Российской Федерации и Правительством Республики Молдова о гарантиях прав граждан в области пенсионного обеспечения от 10 февраля 1995 года.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3. </w:t>
      </w:r>
      <w:hyperlink r:id="rId38">
        <w:r>
          <w:rPr>
            <w:color w:val="0000FF"/>
          </w:rPr>
          <w:t>Соглашение</w:t>
        </w:r>
      </w:hyperlink>
      <w:r>
        <w:t xml:space="preserve"> между Правительством Российской Федерации и Правительством Грузии о гарантиях прав граждан в области социального обеспечения от 16 мая 1997 года.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right"/>
        <w:outlineLvl w:val="3"/>
      </w:pPr>
      <w:bookmarkStart w:id="7" w:name="P176"/>
      <w:bookmarkEnd w:id="7"/>
      <w:r>
        <w:t>Приложение N 3</w:t>
      </w:r>
    </w:p>
    <w:p w:rsidR="00DA295F" w:rsidRDefault="00DA295F">
      <w:pPr>
        <w:pStyle w:val="ConsPlusNormal"/>
        <w:jc w:val="right"/>
      </w:pPr>
      <w:r>
        <w:t>к Порядку организации работы органов системы</w:t>
      </w:r>
    </w:p>
    <w:p w:rsidR="00DA295F" w:rsidRDefault="00DA295F">
      <w:pPr>
        <w:pStyle w:val="ConsPlusNormal"/>
        <w:jc w:val="right"/>
      </w:pPr>
      <w:r>
        <w:t>Фонда пенсионного и социального</w:t>
      </w:r>
    </w:p>
    <w:p w:rsidR="00DA295F" w:rsidRDefault="00DA295F">
      <w:pPr>
        <w:pStyle w:val="ConsPlusNormal"/>
        <w:jc w:val="right"/>
      </w:pPr>
      <w:r>
        <w:t>страхования Российской Федерации</w:t>
      </w:r>
    </w:p>
    <w:p w:rsidR="00DA295F" w:rsidRDefault="00DA295F">
      <w:pPr>
        <w:pStyle w:val="ConsPlusNormal"/>
        <w:jc w:val="right"/>
      </w:pPr>
      <w:r>
        <w:t>по подтверждению страхового (трудового) стажа</w:t>
      </w:r>
    </w:p>
    <w:p w:rsidR="00DA295F" w:rsidRDefault="00DA295F">
      <w:pPr>
        <w:pStyle w:val="ConsPlusNormal"/>
        <w:jc w:val="right"/>
      </w:pPr>
      <w:r>
        <w:t>в рамках реализации международных договоров</w:t>
      </w:r>
    </w:p>
    <w:p w:rsidR="00DA295F" w:rsidRDefault="00DA295F">
      <w:pPr>
        <w:pStyle w:val="ConsPlusNormal"/>
        <w:jc w:val="right"/>
      </w:pPr>
      <w:r>
        <w:t>Российской Федерации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Title"/>
        <w:jc w:val="center"/>
      </w:pPr>
      <w:r>
        <w:t>Перечень</w:t>
      </w:r>
    </w:p>
    <w:p w:rsidR="00DA295F" w:rsidRDefault="00DA295F">
      <w:pPr>
        <w:pStyle w:val="ConsPlusTitle"/>
        <w:jc w:val="center"/>
      </w:pPr>
      <w:r>
        <w:t xml:space="preserve">международных соглашений Российской Федерации, основанных на территориальном принципе, в отношениях с Румынией, Монголией и Словакией, полномочия по </w:t>
      </w:r>
      <w:proofErr w:type="gramStart"/>
      <w:r>
        <w:t>реализации</w:t>
      </w:r>
      <w:proofErr w:type="gramEnd"/>
      <w:r>
        <w:t xml:space="preserve"> которых в части подтверждения страхового (трудового) стажа и взаимодействия в этих целях с компетентным органом (учреждением) государства-контрагента возложены на Отделение СФР </w:t>
      </w:r>
      <w:r>
        <w:lastRenderedPageBreak/>
        <w:t>по Республике Бурятия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1. </w:t>
      </w:r>
      <w:hyperlink r:id="rId39">
        <w:r>
          <w:rPr>
            <w:color w:val="0000FF"/>
          </w:rPr>
          <w:t>Соглашение</w:t>
        </w:r>
      </w:hyperlink>
      <w:r>
        <w:t xml:space="preserve"> между СССР и Румынской Народной Республикой о сотрудничестве в области социального обеспечения от 24 декабря 1960 года.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2. </w:t>
      </w:r>
      <w:hyperlink r:id="rId40">
        <w:r>
          <w:rPr>
            <w:color w:val="0000FF"/>
          </w:rPr>
          <w:t>Соглашение</w:t>
        </w:r>
      </w:hyperlink>
      <w:r>
        <w:t xml:space="preserve"> между СССР и Монгольской Народной Республикой о сотрудничестве в области социального обеспечения от 6 апреля 1981 года.</w:t>
      </w:r>
    </w:p>
    <w:p w:rsidR="00DA295F" w:rsidRDefault="00DA295F">
      <w:pPr>
        <w:pStyle w:val="ConsPlusNormal"/>
        <w:spacing w:before="220"/>
        <w:ind w:firstLine="540"/>
        <w:jc w:val="both"/>
      </w:pPr>
      <w:r>
        <w:t xml:space="preserve">3. </w:t>
      </w:r>
      <w:hyperlink r:id="rId41">
        <w:r>
          <w:rPr>
            <w:color w:val="0000FF"/>
          </w:rPr>
          <w:t>Соглашение</w:t>
        </w:r>
      </w:hyperlink>
      <w:r>
        <w:t xml:space="preserve"> между СССР и Чехословацкой Республикой о социальном обеспечении от 2 декабря 1959 года.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right"/>
        <w:outlineLvl w:val="3"/>
      </w:pPr>
      <w:r>
        <w:t>Приложение N 4</w:t>
      </w:r>
    </w:p>
    <w:p w:rsidR="00DA295F" w:rsidRDefault="00DA295F">
      <w:pPr>
        <w:pStyle w:val="ConsPlusNormal"/>
        <w:jc w:val="right"/>
      </w:pPr>
      <w:r>
        <w:t>к Порядку организации работы органов системы</w:t>
      </w:r>
    </w:p>
    <w:p w:rsidR="00DA295F" w:rsidRDefault="00DA295F">
      <w:pPr>
        <w:pStyle w:val="ConsPlusNormal"/>
        <w:jc w:val="right"/>
      </w:pPr>
      <w:r>
        <w:t>Фонда пенсионного и социального</w:t>
      </w:r>
    </w:p>
    <w:p w:rsidR="00DA295F" w:rsidRDefault="00DA295F">
      <w:pPr>
        <w:pStyle w:val="ConsPlusNormal"/>
        <w:jc w:val="right"/>
      </w:pPr>
      <w:r>
        <w:t>страхования Российской Федерации</w:t>
      </w:r>
    </w:p>
    <w:p w:rsidR="00DA295F" w:rsidRDefault="00DA295F">
      <w:pPr>
        <w:pStyle w:val="ConsPlusNormal"/>
        <w:jc w:val="right"/>
      </w:pPr>
      <w:r>
        <w:t>по подтверждению страхового (трудового) стажа</w:t>
      </w:r>
    </w:p>
    <w:p w:rsidR="00DA295F" w:rsidRDefault="00DA295F">
      <w:pPr>
        <w:pStyle w:val="ConsPlusNormal"/>
        <w:jc w:val="right"/>
      </w:pPr>
      <w:r>
        <w:t>в рамках реализации международных договоров</w:t>
      </w:r>
    </w:p>
    <w:p w:rsidR="00DA295F" w:rsidRDefault="00DA295F">
      <w:pPr>
        <w:pStyle w:val="ConsPlusNormal"/>
        <w:jc w:val="right"/>
      </w:pPr>
      <w:r>
        <w:t>Российской Федерации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Title"/>
        <w:jc w:val="center"/>
      </w:pPr>
      <w:r>
        <w:t>Перечень</w:t>
      </w:r>
    </w:p>
    <w:p w:rsidR="00DA295F" w:rsidRDefault="00DA295F">
      <w:pPr>
        <w:pStyle w:val="ConsPlusTitle"/>
        <w:jc w:val="center"/>
      </w:pPr>
      <w:r>
        <w:t xml:space="preserve">международных соглашений Российской Федерации, основанных на территориальном принципе, </w:t>
      </w:r>
      <w:proofErr w:type="gramStart"/>
      <w:r>
        <w:t>полномочия</w:t>
      </w:r>
      <w:proofErr w:type="gramEnd"/>
      <w:r>
        <w:t xml:space="preserve"> по реализации которых в части подтверждения страхового (трудового) стажа и взаимодействия в этих целях с компетентным органом (учреждением) государства-контрагента возложены на Отделение СФР по Калининградской области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ind w:firstLine="540"/>
        <w:jc w:val="both"/>
      </w:pPr>
      <w:r>
        <w:t xml:space="preserve">1. </w:t>
      </w:r>
      <w:hyperlink r:id="rId42">
        <w:r>
          <w:rPr>
            <w:color w:val="0000FF"/>
          </w:rPr>
          <w:t>Соглашение</w:t>
        </w:r>
      </w:hyperlink>
      <w:r>
        <w:t xml:space="preserve"> между Правительством Российской Федерации и Правительством Литовской Республики о пенсионном обеспечении от 29 июня 1999 года.</w:t>
      </w: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jc w:val="both"/>
      </w:pPr>
    </w:p>
    <w:p w:rsidR="00DA295F" w:rsidRDefault="00DA295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65A5C" w:rsidRDefault="00465A5C">
      <w:bookmarkStart w:id="8" w:name="_GoBack"/>
      <w:bookmarkEnd w:id="8"/>
    </w:p>
    <w:sectPr w:rsidR="00465A5C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5F"/>
    <w:rsid w:val="00465A5C"/>
    <w:rsid w:val="00DA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29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29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29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29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A29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29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VB085&amp;n=40794" TargetMode="External"/><Relationship Id="rId13" Type="http://schemas.openxmlformats.org/officeDocument/2006/relationships/hyperlink" Target="https://login.consultant.ru/link/?req=doc&amp;base=SVB500&amp;n=52558&amp;dst=100010" TargetMode="External"/><Relationship Id="rId18" Type="http://schemas.openxmlformats.org/officeDocument/2006/relationships/hyperlink" Target="https://login.consultant.ru/link/?req=doc&amp;base=SVB500&amp;n=52558&amp;dst=100012" TargetMode="External"/><Relationship Id="rId26" Type="http://schemas.openxmlformats.org/officeDocument/2006/relationships/hyperlink" Target="https://login.consultant.ru/link/?req=doc&amp;base=INT&amp;n=67945" TargetMode="External"/><Relationship Id="rId39" Type="http://schemas.openxmlformats.org/officeDocument/2006/relationships/hyperlink" Target="https://login.consultant.ru/link/?req=doc&amp;base=INT&amp;n=1127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INT&amp;n=52501" TargetMode="External"/><Relationship Id="rId34" Type="http://schemas.openxmlformats.org/officeDocument/2006/relationships/hyperlink" Target="https://login.consultant.ru/link/?req=doc&amp;base=INT&amp;n=68310" TargetMode="External"/><Relationship Id="rId42" Type="http://schemas.openxmlformats.org/officeDocument/2006/relationships/hyperlink" Target="https://login.consultant.ru/link/?req=doc&amp;base=INT&amp;n=6036" TargetMode="External"/><Relationship Id="rId7" Type="http://schemas.openxmlformats.org/officeDocument/2006/relationships/hyperlink" Target="https://login.consultant.ru/link/?req=doc&amp;base=SVB500&amp;n=52558&amp;dst=100008" TargetMode="External"/><Relationship Id="rId12" Type="http://schemas.openxmlformats.org/officeDocument/2006/relationships/hyperlink" Target="https://login.consultant.ru/link/?req=doc&amp;base=SVB085&amp;n=40788" TargetMode="External"/><Relationship Id="rId17" Type="http://schemas.openxmlformats.org/officeDocument/2006/relationships/hyperlink" Target="https://login.consultant.ru/link/?req=doc&amp;base=INT&amp;n=6036" TargetMode="External"/><Relationship Id="rId25" Type="http://schemas.openxmlformats.org/officeDocument/2006/relationships/hyperlink" Target="https://login.consultant.ru/link/?req=doc&amp;base=INT&amp;n=19243" TargetMode="External"/><Relationship Id="rId33" Type="http://schemas.openxmlformats.org/officeDocument/2006/relationships/hyperlink" Target="https://login.consultant.ru/link/?req=doc&amp;base=LAW&amp;n=342834" TargetMode="External"/><Relationship Id="rId38" Type="http://schemas.openxmlformats.org/officeDocument/2006/relationships/hyperlink" Target="https://login.consultant.ru/link/?req=doc&amp;base=LAW&amp;n=12080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INT&amp;n=6036" TargetMode="External"/><Relationship Id="rId20" Type="http://schemas.openxmlformats.org/officeDocument/2006/relationships/hyperlink" Target="https://login.consultant.ru/link/?req=doc&amp;base=INT&amp;n=62856" TargetMode="External"/><Relationship Id="rId29" Type="http://schemas.openxmlformats.org/officeDocument/2006/relationships/hyperlink" Target="https://login.consultant.ru/link/?req=doc&amp;base=INT&amp;n=53606" TargetMode="External"/><Relationship Id="rId41" Type="http://schemas.openxmlformats.org/officeDocument/2006/relationships/hyperlink" Target="https://login.consultant.ru/link/?req=doc&amp;base=INT&amp;n=2143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SVB500&amp;n=52558" TargetMode="External"/><Relationship Id="rId11" Type="http://schemas.openxmlformats.org/officeDocument/2006/relationships/hyperlink" Target="https://login.consultant.ru/link/?req=doc&amp;base=SVB085&amp;n=40215" TargetMode="External"/><Relationship Id="rId24" Type="http://schemas.openxmlformats.org/officeDocument/2006/relationships/hyperlink" Target="https://login.consultant.ru/link/?req=doc&amp;base=INT&amp;n=55545" TargetMode="External"/><Relationship Id="rId32" Type="http://schemas.openxmlformats.org/officeDocument/2006/relationships/hyperlink" Target="https://login.consultant.ru/link/?req=doc&amp;base=LAW&amp;n=342834" TargetMode="External"/><Relationship Id="rId37" Type="http://schemas.openxmlformats.org/officeDocument/2006/relationships/hyperlink" Target="https://login.consultant.ru/link/?req=doc&amp;base=INT&amp;n=403" TargetMode="External"/><Relationship Id="rId40" Type="http://schemas.openxmlformats.org/officeDocument/2006/relationships/hyperlink" Target="https://login.consultant.ru/link/?req=doc&amp;base=INT&amp;n=21780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431866" TargetMode="External"/><Relationship Id="rId23" Type="http://schemas.openxmlformats.org/officeDocument/2006/relationships/hyperlink" Target="https://login.consultant.ru/link/?req=doc&amp;base=LAW&amp;n=342834" TargetMode="External"/><Relationship Id="rId28" Type="http://schemas.openxmlformats.org/officeDocument/2006/relationships/hyperlink" Target="https://login.consultant.ru/link/?req=doc&amp;base=SVB500&amp;n=52558&amp;dst=100012" TargetMode="External"/><Relationship Id="rId36" Type="http://schemas.openxmlformats.org/officeDocument/2006/relationships/hyperlink" Target="https://login.consultant.ru/link/?req=doc&amp;base=INT&amp;n=6036" TargetMode="External"/><Relationship Id="rId10" Type="http://schemas.openxmlformats.org/officeDocument/2006/relationships/hyperlink" Target="https://login.consultant.ru/link/?req=doc&amp;base=SVB085&amp;n=35761" TargetMode="External"/><Relationship Id="rId19" Type="http://schemas.openxmlformats.org/officeDocument/2006/relationships/hyperlink" Target="https://login.consultant.ru/link/?req=doc&amp;base=INT&amp;n=41178" TargetMode="External"/><Relationship Id="rId31" Type="http://schemas.openxmlformats.org/officeDocument/2006/relationships/hyperlink" Target="https://login.consultant.ru/link/?req=doc&amp;base=LAW&amp;n=34283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SVB085&amp;n=35150" TargetMode="External"/><Relationship Id="rId14" Type="http://schemas.openxmlformats.org/officeDocument/2006/relationships/hyperlink" Target="https://login.consultant.ru/link/?req=doc&amp;base=SVB500&amp;n=52558&amp;dst=100012" TargetMode="External"/><Relationship Id="rId22" Type="http://schemas.openxmlformats.org/officeDocument/2006/relationships/hyperlink" Target="https://login.consultant.ru/link/?req=doc&amp;base=LAW&amp;n=88359" TargetMode="External"/><Relationship Id="rId27" Type="http://schemas.openxmlformats.org/officeDocument/2006/relationships/hyperlink" Target="https://login.consultant.ru/link/?req=doc&amp;base=INT&amp;n=6963" TargetMode="External"/><Relationship Id="rId30" Type="http://schemas.openxmlformats.org/officeDocument/2006/relationships/hyperlink" Target="https://login.consultant.ru/link/?req=doc&amp;base=INT&amp;n=65067" TargetMode="External"/><Relationship Id="rId35" Type="http://schemas.openxmlformats.org/officeDocument/2006/relationships/hyperlink" Target="https://login.consultant.ru/link/?req=doc&amp;base=INT&amp;n=68742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3611</Words>
  <Characters>20585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24148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Лазученкова Юлия Александровна</dc:creator>
  <cp:lastModifiedBy>Лазученкова Юлия Александровна</cp:lastModifiedBy>
  <cp:revision>1</cp:revision>
  <dcterms:created xsi:type="dcterms:W3CDTF">2026-10-23T08:18:00Z</dcterms:created>
  <dcterms:modified xsi:type="dcterms:W3CDTF">2026-10-23T08:18:00Z</dcterms:modified>
</cp:coreProperties>
</file>